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E1387B" w14:textId="2FDD359C" w:rsidR="00841BBF" w:rsidRPr="00C1691E" w:rsidRDefault="00841BBF" w:rsidP="00C1691E">
      <w:pPr>
        <w:pStyle w:val="TtulodaResoluo"/>
      </w:pPr>
      <w:r w:rsidRPr="00C1691E">
        <w:t xml:space="preserve">Resolução CVM nº </w:t>
      </w:r>
      <w:sdt>
        <w:sdtPr>
          <w:alias w:val="Título"/>
          <w:tag w:val=""/>
          <w:id w:val="253094646"/>
          <w:placeholder>
            <w:docPart w:val="DBF8CDF87CA34DFA85791E06DC3B0427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C27BF7">
            <w:t>61</w:t>
          </w:r>
          <w:r w:rsidR="00C27BF7" w:rsidRPr="00C1691E">
            <w:t xml:space="preserve">, de </w:t>
          </w:r>
          <w:r w:rsidR="00C27BF7">
            <w:t>27 de DEZEMBRO</w:t>
          </w:r>
          <w:r w:rsidR="00C27BF7" w:rsidRPr="00C1691E">
            <w:t xml:space="preserve"> de </w:t>
          </w:r>
          <w:r w:rsidR="00C27BF7">
            <w:t>2021</w:t>
          </w:r>
        </w:sdtContent>
      </w:sdt>
    </w:p>
    <w:p w14:paraId="7740A3D1" w14:textId="2E6964C6" w:rsidR="00841BBF" w:rsidRPr="00C82C89" w:rsidRDefault="00237C3B" w:rsidP="00C82C89">
      <w:pPr>
        <w:pStyle w:val="Ementa"/>
      </w:pPr>
      <w:r w:rsidRPr="00237C3B">
        <w:t xml:space="preserve">Altera as </w:t>
      </w:r>
      <w:r w:rsidR="00D56839">
        <w:t>Instruções CVM nº 400, de 29 de dezembro de 2003,</w:t>
      </w:r>
      <w:r w:rsidR="00C27BF7">
        <w:t xml:space="preserve"> nº</w:t>
      </w:r>
      <w:r w:rsidR="00D56839">
        <w:t xml:space="preserve"> </w:t>
      </w:r>
      <w:r w:rsidR="00332658">
        <w:t xml:space="preserve">476, de 16 de janeiro de 2009, </w:t>
      </w:r>
      <w:r w:rsidR="00C27BF7">
        <w:t xml:space="preserve">nº </w:t>
      </w:r>
      <w:r w:rsidR="00E06FC0">
        <w:t xml:space="preserve">480, de 7 de dezembro de 2009, </w:t>
      </w:r>
      <w:r w:rsidR="00CC3E7E">
        <w:t xml:space="preserve">e </w:t>
      </w:r>
      <w:r w:rsidR="00C27BF7">
        <w:t xml:space="preserve">nº </w:t>
      </w:r>
      <w:r w:rsidR="00E06FC0">
        <w:t xml:space="preserve">588, de 13 de julho de 2017, </w:t>
      </w:r>
      <w:r w:rsidR="0094459D">
        <w:t xml:space="preserve">e as </w:t>
      </w:r>
      <w:r w:rsidRPr="00237C3B">
        <w:t xml:space="preserve">Resoluções CVM nº </w:t>
      </w:r>
      <w:r w:rsidR="0094459D">
        <w:t>6</w:t>
      </w:r>
      <w:r w:rsidRPr="00237C3B">
        <w:t xml:space="preserve">, de </w:t>
      </w:r>
      <w:r w:rsidR="0094459D">
        <w:t xml:space="preserve">14 de setembro de 2020, </w:t>
      </w:r>
      <w:r w:rsidR="00C27BF7">
        <w:t xml:space="preserve">nº </w:t>
      </w:r>
      <w:r w:rsidR="00DB50F9">
        <w:t>8, de 14 de setembro de 2020, e</w:t>
      </w:r>
      <w:r w:rsidR="00C27BF7">
        <w:t xml:space="preserve"> nº</w:t>
      </w:r>
      <w:r w:rsidR="00DB50F9">
        <w:t xml:space="preserve"> 54, de 20 de outubro de 2021</w:t>
      </w:r>
      <w:r w:rsidRPr="00237C3B">
        <w:t>.</w:t>
      </w:r>
    </w:p>
    <w:p w14:paraId="05D980AA" w14:textId="3AED8219" w:rsidR="006E1797" w:rsidRDefault="006E1797" w:rsidP="00ED1FB4">
      <w:r>
        <w:t xml:space="preserve">O </w:t>
      </w:r>
      <w:r w:rsidR="00894689" w:rsidRPr="00894689">
        <w:rPr>
          <w:b/>
        </w:rPr>
        <w:t>PRESIDENTE DA COMISSÃO DE VALORES MOBILIÁRIOS – CVM</w:t>
      </w:r>
      <w:r w:rsidR="00894689">
        <w:t xml:space="preserve"> torna público que o Colegiado, em reunião realizada em </w:t>
      </w:r>
      <w:r w:rsidR="00E722F3">
        <w:t>22 de dezembro de 2021</w:t>
      </w:r>
      <w:r w:rsidR="00894689">
        <w:t xml:space="preserve">, com fundamento no disposto no art. 8º, I, da Lei nº 6.385, de 7 de dezembro de 1976, </w:t>
      </w:r>
      <w:r w:rsidR="00FA29E1" w:rsidRPr="008533A4">
        <w:rPr>
          <w:b/>
          <w:bCs/>
        </w:rPr>
        <w:t>APROVOU</w:t>
      </w:r>
      <w:r w:rsidR="00894689">
        <w:t xml:space="preserve"> a seguinte Resolução:</w:t>
      </w:r>
    </w:p>
    <w:p w14:paraId="20DECA4B" w14:textId="0BB7AC12" w:rsidR="00A176DA" w:rsidRDefault="00ED1FB4" w:rsidP="00A176DA">
      <w:r w:rsidRPr="00243FB2">
        <w:t>Art.</w:t>
      </w:r>
      <w:r w:rsidR="00A176DA" w:rsidRPr="00243FB2">
        <w:t xml:space="preserve"> 1</w:t>
      </w:r>
      <w:proofErr w:type="gramStart"/>
      <w:r w:rsidR="00A176DA" w:rsidRPr="00243FB2">
        <w:t xml:space="preserve">º  </w:t>
      </w:r>
      <w:r w:rsidR="005328EA">
        <w:t>A</w:t>
      </w:r>
      <w:proofErr w:type="gramEnd"/>
      <w:r w:rsidR="00A176DA" w:rsidRPr="00243FB2">
        <w:t xml:space="preserve"> Instrução CVM nº 400, de 29 de dezembro de 2003, passa a vigorar com a seguinte redação:</w:t>
      </w:r>
    </w:p>
    <w:p w14:paraId="0CB7F1FF" w14:textId="073FA847" w:rsidR="00B91EDC" w:rsidRDefault="00A176DA" w:rsidP="009D3E83">
      <w:pPr>
        <w:pStyle w:val="NormaAlterada"/>
      </w:pPr>
      <w:r w:rsidRPr="00237C3B">
        <w:t xml:space="preserve">“Art. </w:t>
      </w:r>
      <w:r>
        <w:t>5</w:t>
      </w:r>
      <w:proofErr w:type="gramStart"/>
      <w:r>
        <w:t>º</w:t>
      </w:r>
      <w:r w:rsidR="00B91EDC">
        <w:t xml:space="preserve">  Não</w:t>
      </w:r>
      <w:proofErr w:type="gramEnd"/>
      <w:r w:rsidR="00B91EDC">
        <w:t xml:space="preserve"> se sujeitam ao registro a que se refere o art. 2º as seguintes ofertas públicas de distribuição:</w:t>
      </w:r>
    </w:p>
    <w:p w14:paraId="60A2FE3A" w14:textId="77777777" w:rsidR="00F35BA7" w:rsidRDefault="00F35BA7" w:rsidP="009D3E83">
      <w:pPr>
        <w:pStyle w:val="NormaAlterada"/>
      </w:pPr>
      <w:r>
        <w:tab/>
      </w:r>
    </w:p>
    <w:p w14:paraId="0ECFA6D1" w14:textId="77777777" w:rsidR="002E26DA" w:rsidRDefault="00CE45AC" w:rsidP="009D3E83">
      <w:pPr>
        <w:pStyle w:val="NormaAlterada"/>
      </w:pPr>
      <w:r w:rsidRPr="00393CE9">
        <w:t>§ 1</w:t>
      </w:r>
      <w:proofErr w:type="gramStart"/>
      <w:r w:rsidRPr="00393CE9">
        <w:t xml:space="preserve">º  </w:t>
      </w:r>
      <w:r>
        <w:t>O</w:t>
      </w:r>
      <w:proofErr w:type="gramEnd"/>
      <w:r>
        <w:t xml:space="preserve"> </w:t>
      </w:r>
      <w:r w:rsidRPr="00393CE9">
        <w:t>mesmo ofertante</w:t>
      </w:r>
      <w:r>
        <w:t xml:space="preserve"> não pode realizar nova oferta nos termos do inciso II do </w:t>
      </w:r>
      <w:r w:rsidRPr="00C604AE">
        <w:rPr>
          <w:b/>
        </w:rPr>
        <w:t>caput</w:t>
      </w:r>
      <w:r>
        <w:t xml:space="preserve"> </w:t>
      </w:r>
      <w:r w:rsidRPr="00393CE9">
        <w:t>em relação a uma mesma espécie de valor mobiliário de uma mesma emissora dentro do prazo de 4 (quatro) meses contados da data do encerramento da oferta</w:t>
      </w:r>
      <w:r>
        <w:t>.</w:t>
      </w:r>
    </w:p>
    <w:p w14:paraId="4324BDAE" w14:textId="45CDE14E" w:rsidR="00CE45AC" w:rsidRPr="00393CE9" w:rsidRDefault="00774C28" w:rsidP="009D3E83">
      <w:pPr>
        <w:pStyle w:val="NormaAlterada"/>
      </w:pPr>
      <w:r>
        <w:tab/>
      </w:r>
      <w:r w:rsidR="00C5222F">
        <w:t>” (NR)</w:t>
      </w:r>
    </w:p>
    <w:p w14:paraId="1D9AA699" w14:textId="0E26B465" w:rsidR="00CC3E7E" w:rsidRDefault="00CC3E7E" w:rsidP="00CC3E7E">
      <w:r w:rsidRPr="00243FB2">
        <w:t xml:space="preserve">Art. </w:t>
      </w:r>
      <w:r>
        <w:t>2</w:t>
      </w:r>
      <w:proofErr w:type="gramStart"/>
      <w:r w:rsidRPr="00243FB2">
        <w:t xml:space="preserve">º  </w:t>
      </w:r>
      <w:r>
        <w:t>O</w:t>
      </w:r>
      <w:proofErr w:type="gramEnd"/>
      <w:r>
        <w:t xml:space="preserve"> Anexo I da</w:t>
      </w:r>
      <w:r w:rsidRPr="00243FB2">
        <w:t xml:space="preserve"> Instrução CVM nº 400, de 2003, passa a vigorar com a seguinte redação:</w:t>
      </w:r>
    </w:p>
    <w:p w14:paraId="19EB5CA8" w14:textId="025B412F" w:rsidR="00A176DA" w:rsidRDefault="00A176DA" w:rsidP="009D3E83">
      <w:pPr>
        <w:pStyle w:val="NormaAlterada"/>
      </w:pPr>
      <w:r>
        <w:t>“ANEXO I</w:t>
      </w:r>
      <w:r w:rsidR="00F35BA7">
        <w:tab/>
      </w:r>
    </w:p>
    <w:p w14:paraId="36CB7DBD" w14:textId="5D8DDA57" w:rsidR="002E7203" w:rsidRDefault="00F35BA7" w:rsidP="009D3E83">
      <w:pPr>
        <w:pStyle w:val="NormaAlterada"/>
      </w:pPr>
      <w:r>
        <w:tab/>
      </w:r>
    </w:p>
    <w:p w14:paraId="788ECFFC" w14:textId="27B4CA94" w:rsidR="0039476C" w:rsidRDefault="004E38B5" w:rsidP="009D3E83">
      <w:pPr>
        <w:pStyle w:val="NormaAlterada"/>
      </w:pPr>
      <w:r>
        <w:t xml:space="preserve">IV </w:t>
      </w:r>
      <w:r w:rsidR="0039476C">
        <w:t>–</w:t>
      </w:r>
      <w:r>
        <w:t xml:space="preserve"> o requerente deve emitir sua opinião fundamentada sobre a legalidade do pedido;</w:t>
      </w:r>
      <w:r w:rsidR="00531CD1">
        <w:rPr>
          <w:rStyle w:val="Refdenotaderodap"/>
        </w:rPr>
        <w:footnoteReference w:id="2"/>
      </w:r>
    </w:p>
    <w:p w14:paraId="4ED19D0C" w14:textId="5FCAB478" w:rsidR="004E38B5" w:rsidRDefault="004E38B5" w:rsidP="009D3E83">
      <w:pPr>
        <w:pStyle w:val="NormaAlterada"/>
      </w:pPr>
      <w:r>
        <w:t xml:space="preserve">V </w:t>
      </w:r>
      <w:r w:rsidR="0039476C">
        <w:t>–</w:t>
      </w:r>
      <w:r>
        <w:t xml:space="preserve"> a CVM poderá conceder tratamento confidencial para o pedido, desde que solicitado e fundamentado pelo requerente; e</w:t>
      </w:r>
      <w:r w:rsidR="009E20E6">
        <w:rPr>
          <w:rStyle w:val="Refdenotaderodap"/>
        </w:rPr>
        <w:footnoteReference w:id="3"/>
      </w:r>
    </w:p>
    <w:p w14:paraId="31AFC5D4" w14:textId="42DB1572" w:rsidR="00C554B4" w:rsidRPr="00C554B4" w:rsidRDefault="004E38B5" w:rsidP="00C554B4">
      <w:pPr>
        <w:pStyle w:val="NormaAlterada"/>
      </w:pPr>
      <w:r>
        <w:lastRenderedPageBreak/>
        <w:t xml:space="preserve">VI </w:t>
      </w:r>
      <w:r w:rsidR="0039476C">
        <w:t>–</w:t>
      </w:r>
      <w:r>
        <w:t xml:space="preserve"> </w:t>
      </w:r>
      <w:proofErr w:type="gramStart"/>
      <w:r>
        <w:t>comprovante</w:t>
      </w:r>
      <w:proofErr w:type="gramEnd"/>
      <w:r>
        <w:t xml:space="preserve"> de pagamento da taxa prevista no Anexo IV da lei que trata da taxa de fiscalização dos mercados de títulos e valores mobiliários, no caso de pedido de dispensa de registro”.</w:t>
      </w:r>
      <w:r w:rsidR="00946F55">
        <w:t xml:space="preserve"> (NR)</w:t>
      </w:r>
    </w:p>
    <w:p w14:paraId="44BDE475" w14:textId="58FA54C6" w:rsidR="00CC25DB" w:rsidRDefault="00CC25DB" w:rsidP="00CC25DB">
      <w:r w:rsidRPr="00243FB2">
        <w:t xml:space="preserve">Art. </w:t>
      </w:r>
      <w:r>
        <w:t>3</w:t>
      </w:r>
      <w:proofErr w:type="gramStart"/>
      <w:r w:rsidRPr="00243FB2">
        <w:t xml:space="preserve">º  </w:t>
      </w:r>
      <w:r>
        <w:t>O</w:t>
      </w:r>
      <w:proofErr w:type="gramEnd"/>
      <w:r>
        <w:t xml:space="preserve"> Anexo II da</w:t>
      </w:r>
      <w:r w:rsidRPr="00243FB2">
        <w:t xml:space="preserve"> Instrução CVM nº 400, de 2003, passa a vigorar com a seguinte redação:</w:t>
      </w:r>
    </w:p>
    <w:p w14:paraId="3F45133B" w14:textId="2EA9D5F5" w:rsidR="00A176DA" w:rsidRDefault="00A176DA" w:rsidP="009D3E83">
      <w:pPr>
        <w:pStyle w:val="NormaAlterada"/>
      </w:pPr>
      <w:r>
        <w:t>“ANEXO II</w:t>
      </w:r>
      <w:r w:rsidR="00614570">
        <w:tab/>
      </w:r>
    </w:p>
    <w:p w14:paraId="57FFA7A2" w14:textId="62414529" w:rsidR="00A176DA" w:rsidRDefault="00614570" w:rsidP="009D3E83">
      <w:pPr>
        <w:pStyle w:val="NormaAlterada"/>
      </w:pPr>
      <w:r>
        <w:tab/>
      </w:r>
    </w:p>
    <w:p w14:paraId="1DF91585" w14:textId="77777777" w:rsidR="00177C2A" w:rsidRDefault="000355CB" w:rsidP="00725366">
      <w:pPr>
        <w:pStyle w:val="NormaAlterada"/>
      </w:pPr>
      <w:r>
        <w:t xml:space="preserve">13. comprovante de pagamento da taxa </w:t>
      </w:r>
      <w:r w:rsidRPr="004C770B">
        <w:t>prevista no Anexo IV da lei que trata da taxa de fiscalização dos mercados de títulos e valores mobiliários</w:t>
      </w:r>
      <w:r>
        <w:t>,</w:t>
      </w:r>
      <w:r w:rsidRPr="00D376DF">
        <w:t xml:space="preserve"> incluindo os eventuais lotes adicional, previsto no art. 14, § 2º, e suplementar, previsto no art. 24</w:t>
      </w:r>
      <w:r w:rsidR="00A43036">
        <w:t>;</w:t>
      </w:r>
    </w:p>
    <w:p w14:paraId="15F9D69F" w14:textId="6FBCBCB5" w:rsidR="00725366" w:rsidRPr="00725366" w:rsidRDefault="00177C2A" w:rsidP="00725366">
      <w:pPr>
        <w:pStyle w:val="NormaAlterada"/>
      </w:pPr>
      <w:r>
        <w:tab/>
      </w:r>
      <w:r w:rsidR="00A43036">
        <w:t>” (NR)</w:t>
      </w:r>
    </w:p>
    <w:p w14:paraId="2772F424" w14:textId="5549F06F" w:rsidR="00CC25DB" w:rsidRDefault="00CC25DB" w:rsidP="00CC25DB">
      <w:r w:rsidRPr="001B7BF8">
        <w:t xml:space="preserve">Art. </w:t>
      </w:r>
      <w:r w:rsidR="00670737">
        <w:t>3</w:t>
      </w:r>
      <w:proofErr w:type="gramStart"/>
      <w:r w:rsidR="00670737" w:rsidRPr="001B7BF8">
        <w:t xml:space="preserve">º  </w:t>
      </w:r>
      <w:r w:rsidR="00693E60">
        <w:t>A</w:t>
      </w:r>
      <w:proofErr w:type="gramEnd"/>
      <w:r w:rsidRPr="001B7BF8">
        <w:t xml:space="preserve"> Instrução CVM nº 476, de 16 de janeiro de 2009, passa a vigorar com a seguinte redação:</w:t>
      </w:r>
    </w:p>
    <w:p w14:paraId="19EB3D0D" w14:textId="6D51242F" w:rsidR="00A77823" w:rsidRPr="00237C3B" w:rsidRDefault="00A77823" w:rsidP="009D3E83">
      <w:pPr>
        <w:pStyle w:val="NormaAlterada"/>
      </w:pPr>
      <w:r w:rsidRPr="00237C3B">
        <w:t xml:space="preserve">“Art. </w:t>
      </w:r>
      <w:r>
        <w:t>8º</w:t>
      </w:r>
      <w:r w:rsidRPr="00237C3B">
        <w:t xml:space="preserve"> </w:t>
      </w:r>
      <w:r w:rsidR="00614570">
        <w:tab/>
      </w:r>
    </w:p>
    <w:p w14:paraId="67D66DD7" w14:textId="77777777" w:rsidR="00614570" w:rsidRDefault="00614570" w:rsidP="009D3E83">
      <w:pPr>
        <w:pStyle w:val="NormaAlterada"/>
      </w:pPr>
      <w:r>
        <w:tab/>
      </w:r>
    </w:p>
    <w:p w14:paraId="347D8B46" w14:textId="021BC3DE" w:rsidR="00ED37AB" w:rsidRDefault="001F1047" w:rsidP="009D3E83">
      <w:pPr>
        <w:pStyle w:val="NormaAlterada"/>
        <w:rPr>
          <w:highlight w:val="yellow"/>
        </w:rPr>
      </w:pPr>
      <w:r w:rsidRPr="001F1047">
        <w:t>§</w:t>
      </w:r>
      <w:r w:rsidR="005A5D02">
        <w:t xml:space="preserve"> </w:t>
      </w:r>
      <w:r w:rsidRPr="001F1047">
        <w:t>3</w:t>
      </w:r>
      <w:proofErr w:type="gramStart"/>
      <w:r w:rsidRPr="001F1047">
        <w:t xml:space="preserve">º  </w:t>
      </w:r>
      <w:r w:rsidR="005C7B13" w:rsidRPr="005C7B13">
        <w:t>O</w:t>
      </w:r>
      <w:proofErr w:type="gramEnd"/>
      <w:r w:rsidR="005C7B13" w:rsidRPr="005C7B13">
        <w:t xml:space="preserve"> pagamento da taxa prevista no Anexo IV da lei que trata da taxa de fiscalização dos mercados de títulos e valores mobiliários deve ser efetuado na data de encerramento da oferta pública distribuída com esforços </w:t>
      </w:r>
      <w:bookmarkStart w:id="0" w:name="_Hlk91176910"/>
      <w:r w:rsidR="005C7B13" w:rsidRPr="005C7B13">
        <w:t>restritos</w:t>
      </w:r>
      <w:r w:rsidR="00874118" w:rsidRPr="00874118">
        <w:t xml:space="preserve"> </w:t>
      </w:r>
      <w:r w:rsidR="00874118">
        <w:t>encerrada com êxito</w:t>
      </w:r>
      <w:bookmarkEnd w:id="0"/>
      <w:r w:rsidR="005C7B13" w:rsidRPr="005C7B13">
        <w:t xml:space="preserve">, devendo o número de referência do pagamento ser informado na comunicação de que trata o </w:t>
      </w:r>
      <w:r w:rsidR="005C7B13" w:rsidRPr="003C58A1">
        <w:rPr>
          <w:b/>
          <w:bCs/>
        </w:rPr>
        <w:t>caput</w:t>
      </w:r>
      <w:r w:rsidR="000E1A12" w:rsidRPr="005C7B13">
        <w:t>.</w:t>
      </w:r>
      <w:r w:rsidR="00ED37AB" w:rsidRPr="005C7B13">
        <w:t xml:space="preserve">” </w:t>
      </w:r>
      <w:r w:rsidR="005C7B13" w:rsidRPr="005C7B13">
        <w:t>(NR)</w:t>
      </w:r>
    </w:p>
    <w:p w14:paraId="4C43E23F" w14:textId="577CEE76" w:rsidR="00ED37AB" w:rsidRPr="00237C3B" w:rsidRDefault="00ED37AB" w:rsidP="009D3E83">
      <w:pPr>
        <w:pStyle w:val="NormaAlterada"/>
      </w:pPr>
      <w:r w:rsidRPr="00237C3B">
        <w:t xml:space="preserve">“Art. </w:t>
      </w:r>
      <w:r>
        <w:t>11</w:t>
      </w:r>
      <w:r w:rsidR="00614570">
        <w:tab/>
      </w:r>
    </w:p>
    <w:p w14:paraId="0D18BEA7" w14:textId="77777777" w:rsidR="00614570" w:rsidRDefault="00614570" w:rsidP="009D3E83">
      <w:pPr>
        <w:pStyle w:val="NormaAlterada"/>
      </w:pPr>
      <w:r>
        <w:tab/>
      </w:r>
    </w:p>
    <w:p w14:paraId="5B2A8732" w14:textId="1E683D55" w:rsidR="0039476C" w:rsidRDefault="006169B7" w:rsidP="009D3E83">
      <w:pPr>
        <w:pStyle w:val="NormaAlterada"/>
        <w:rPr>
          <w:rFonts w:eastAsia="Times New Roman"/>
          <w:lang w:eastAsia="pt-BR"/>
        </w:rPr>
      </w:pPr>
      <w:r w:rsidRPr="006169B7">
        <w:rPr>
          <w:rFonts w:eastAsia="Times New Roman"/>
          <w:lang w:eastAsia="pt-BR"/>
        </w:rPr>
        <w:t>XIII – adotar diligências para verificar o atendimento à condição para realização de oferta prevista no art. 9º desta Instrução;</w:t>
      </w:r>
      <w:r w:rsidR="007949FC">
        <w:rPr>
          <w:rStyle w:val="Refdenotaderodap"/>
          <w:rFonts w:eastAsia="Times New Roman"/>
          <w:lang w:eastAsia="pt-BR"/>
        </w:rPr>
        <w:footnoteReference w:id="4"/>
      </w:r>
    </w:p>
    <w:p w14:paraId="292F5016" w14:textId="1003173D" w:rsidR="006169B7" w:rsidRPr="006169B7" w:rsidRDefault="006169B7" w:rsidP="009D3E83">
      <w:pPr>
        <w:pStyle w:val="NormaAlterada"/>
        <w:rPr>
          <w:rFonts w:eastAsia="Times New Roman"/>
          <w:lang w:eastAsia="pt-BR"/>
        </w:rPr>
      </w:pPr>
      <w:r w:rsidRPr="006169B7">
        <w:rPr>
          <w:rFonts w:eastAsia="Times New Roman"/>
          <w:lang w:eastAsia="pt-BR"/>
        </w:rPr>
        <w:t>XIV – assegurar que as condições previstas no art. 9º-A, inciso I, e § 2º, sejam cumpridas; e</w:t>
      </w:r>
      <w:r w:rsidR="007949FC">
        <w:rPr>
          <w:rStyle w:val="Refdenotaderodap"/>
          <w:rFonts w:eastAsia="Times New Roman"/>
          <w:lang w:eastAsia="pt-BR"/>
        </w:rPr>
        <w:footnoteReference w:id="5"/>
      </w:r>
    </w:p>
    <w:p w14:paraId="5A64AAF2" w14:textId="47FDD244" w:rsidR="006169B7" w:rsidRDefault="006169B7" w:rsidP="009D3E83">
      <w:pPr>
        <w:pStyle w:val="NormaAlterada"/>
        <w:rPr>
          <w:rFonts w:eastAsia="Times New Roman"/>
          <w:lang w:eastAsia="pt-BR"/>
        </w:rPr>
      </w:pPr>
      <w:r w:rsidRPr="006169B7">
        <w:rPr>
          <w:rFonts w:eastAsia="Times New Roman"/>
          <w:lang w:eastAsia="pt-BR"/>
        </w:rPr>
        <w:t xml:space="preserve">XV – </w:t>
      </w:r>
      <w:r w:rsidR="00AC720D" w:rsidRPr="00AC720D">
        <w:rPr>
          <w:rFonts w:eastAsia="Times New Roman"/>
          <w:lang w:eastAsia="pt-BR"/>
        </w:rPr>
        <w:t>assegurar que a</w:t>
      </w:r>
      <w:r w:rsidRPr="006169B7">
        <w:rPr>
          <w:rFonts w:eastAsia="Times New Roman"/>
          <w:lang w:eastAsia="pt-BR"/>
        </w:rPr>
        <w:t xml:space="preserve"> taxa prevista no Anexo IV da lei que trata da taxa de fiscalização dos mercados de títulos e valores mobiliários</w:t>
      </w:r>
      <w:r w:rsidR="00AC720D" w:rsidRPr="00AC720D">
        <w:rPr>
          <w:rFonts w:eastAsia="Times New Roman"/>
          <w:lang w:eastAsia="pt-BR"/>
        </w:rPr>
        <w:t xml:space="preserve"> foi paga pelo ofertante dos valores mobiliários</w:t>
      </w:r>
      <w:r w:rsidRPr="006169B7">
        <w:rPr>
          <w:rFonts w:eastAsia="Times New Roman"/>
          <w:lang w:eastAsia="pt-BR"/>
        </w:rPr>
        <w:t xml:space="preserve"> nos termos do §</w:t>
      </w:r>
      <w:r w:rsidR="00BD6B93">
        <w:rPr>
          <w:rFonts w:eastAsia="Times New Roman"/>
          <w:lang w:eastAsia="pt-BR"/>
        </w:rPr>
        <w:t xml:space="preserve"> </w:t>
      </w:r>
      <w:r w:rsidRPr="006169B7">
        <w:rPr>
          <w:rFonts w:eastAsia="Times New Roman"/>
          <w:lang w:eastAsia="pt-BR"/>
        </w:rPr>
        <w:t xml:space="preserve">3º do art. 8º desta </w:t>
      </w:r>
      <w:proofErr w:type="gramStart"/>
      <w:r w:rsidRPr="006169B7">
        <w:rPr>
          <w:rFonts w:eastAsia="Times New Roman"/>
          <w:lang w:eastAsia="pt-BR"/>
        </w:rPr>
        <w:t>Instrução</w:t>
      </w:r>
      <w:r w:rsidR="00AC720D" w:rsidRPr="00AC720D">
        <w:rPr>
          <w:rFonts w:eastAsia="Times New Roman"/>
          <w:lang w:eastAsia="pt-BR"/>
        </w:rPr>
        <w:t>.</w:t>
      </w:r>
      <w:r>
        <w:rPr>
          <w:rFonts w:eastAsia="Times New Roman"/>
          <w:lang w:eastAsia="pt-BR"/>
        </w:rPr>
        <w:t>”</w:t>
      </w:r>
      <w:proofErr w:type="gramEnd"/>
      <w:r>
        <w:rPr>
          <w:rFonts w:eastAsia="Times New Roman"/>
          <w:lang w:eastAsia="pt-BR"/>
        </w:rPr>
        <w:t xml:space="preserve"> (NR)</w:t>
      </w:r>
    </w:p>
    <w:p w14:paraId="5742B36C" w14:textId="1A85B263" w:rsidR="00CC25DB" w:rsidRDefault="00CC25DB" w:rsidP="00CC25DB">
      <w:r w:rsidRPr="001B7BF8">
        <w:lastRenderedPageBreak/>
        <w:t xml:space="preserve">Art. </w:t>
      </w:r>
      <w:r w:rsidR="00670737">
        <w:t>4</w:t>
      </w:r>
      <w:proofErr w:type="gramStart"/>
      <w:r w:rsidR="00670737" w:rsidRPr="001B7BF8">
        <w:t xml:space="preserve">º  </w:t>
      </w:r>
      <w:r>
        <w:t>O</w:t>
      </w:r>
      <w:proofErr w:type="gramEnd"/>
      <w:r>
        <w:t xml:space="preserve"> Anexo 8 da</w:t>
      </w:r>
      <w:r w:rsidRPr="001B7BF8">
        <w:t xml:space="preserve"> Instrução CVM nº 476, de 2009, passa a vigorar com a seguinte redação:</w:t>
      </w:r>
    </w:p>
    <w:p w14:paraId="00E6D946" w14:textId="1957D9E5" w:rsidR="00BB755E" w:rsidRPr="004A5763" w:rsidRDefault="00FB7165" w:rsidP="009D3E83">
      <w:pPr>
        <w:pStyle w:val="NormaAlterada"/>
      </w:pPr>
      <w:r w:rsidRPr="004A5763">
        <w:rPr>
          <w:rFonts w:eastAsia="Times New Roman"/>
          <w:lang w:eastAsia="pt-BR"/>
        </w:rPr>
        <w:t>“Anexo 8</w:t>
      </w:r>
      <w:r w:rsidR="0032414A" w:rsidRPr="004A5763">
        <w:t xml:space="preserve"> </w:t>
      </w:r>
      <w:r w:rsidR="00614570">
        <w:tab/>
      </w:r>
    </w:p>
    <w:p w14:paraId="018B263B" w14:textId="1BD61823" w:rsidR="002B3B02" w:rsidRDefault="002B3B02" w:rsidP="009D3E83">
      <w:pPr>
        <w:pStyle w:val="NormaAlterada"/>
      </w:pPr>
      <w:r>
        <w:t xml:space="preserve">DADOS DA </w:t>
      </w:r>
      <w:r w:rsidR="008A7185">
        <w:t>OFERTA</w:t>
      </w:r>
    </w:p>
    <w:p w14:paraId="2F044D57" w14:textId="391BFB79" w:rsidR="00614570" w:rsidRDefault="00614570" w:rsidP="009D3E83">
      <w:pPr>
        <w:pStyle w:val="NormaAlterada"/>
      </w:pPr>
      <w:r>
        <w:tab/>
      </w:r>
    </w:p>
    <w:p w14:paraId="3F24123C" w14:textId="366D2E81" w:rsidR="0039476C" w:rsidRDefault="006434D5" w:rsidP="009D3E83">
      <w:pPr>
        <w:pStyle w:val="NormaAlterada"/>
      </w:pPr>
      <w:r w:rsidRPr="006434D5">
        <w:t>Nº de referência do pagamento da taxa de fiscalização:</w:t>
      </w:r>
      <w:r w:rsidR="002D3AB7">
        <w:t>” (NR)</w:t>
      </w:r>
    </w:p>
    <w:p w14:paraId="573B4D59" w14:textId="1CC322E0" w:rsidR="00B41D83" w:rsidRDefault="00B41D83" w:rsidP="002A456D">
      <w:r w:rsidRPr="001B7BF8">
        <w:t xml:space="preserve">Art. </w:t>
      </w:r>
      <w:r w:rsidR="005237E5">
        <w:t>5</w:t>
      </w:r>
      <w:proofErr w:type="gramStart"/>
      <w:r w:rsidR="005237E5" w:rsidRPr="001B7BF8">
        <w:t xml:space="preserve">º  </w:t>
      </w:r>
      <w:r w:rsidR="00C42EDE">
        <w:t>A</w:t>
      </w:r>
      <w:proofErr w:type="gramEnd"/>
      <w:r w:rsidRPr="001B7BF8">
        <w:t xml:space="preserve"> Instrução CVM nº </w:t>
      </w:r>
      <w:r>
        <w:t>480</w:t>
      </w:r>
      <w:r w:rsidRPr="001B7BF8">
        <w:t xml:space="preserve">, de </w:t>
      </w:r>
      <w:r>
        <w:t>7</w:t>
      </w:r>
      <w:r w:rsidRPr="001B7BF8">
        <w:t xml:space="preserve"> de </w:t>
      </w:r>
      <w:r>
        <w:t>dezembro</w:t>
      </w:r>
      <w:r w:rsidRPr="001B7BF8">
        <w:t xml:space="preserve"> de 2009, passa a vigorar com a seguinte redação:</w:t>
      </w:r>
    </w:p>
    <w:p w14:paraId="19134319" w14:textId="557972B2" w:rsidR="00B41D83" w:rsidRPr="00237C3B" w:rsidRDefault="00B41D83" w:rsidP="00485E5A">
      <w:pPr>
        <w:pStyle w:val="NormaAlterada"/>
      </w:pPr>
      <w:r w:rsidRPr="00237C3B">
        <w:t xml:space="preserve">“Art. </w:t>
      </w:r>
      <w:r w:rsidR="00764468">
        <w:t>7</w:t>
      </w:r>
      <w:r>
        <w:t>º</w:t>
      </w:r>
      <w:r w:rsidRPr="00237C3B">
        <w:t xml:space="preserve"> </w:t>
      </w:r>
      <w:r w:rsidR="00614570">
        <w:tab/>
      </w:r>
    </w:p>
    <w:p w14:paraId="7CBC6FD7" w14:textId="6D6F4CED" w:rsidR="00614570" w:rsidRDefault="002B3B02" w:rsidP="00485E5A">
      <w:pPr>
        <w:pStyle w:val="NormaAlterada"/>
      </w:pPr>
      <w:r>
        <w:tab/>
      </w:r>
    </w:p>
    <w:p w14:paraId="3EB91641" w14:textId="71058B43" w:rsidR="00BF78EF" w:rsidRDefault="00BF78EF" w:rsidP="00485E5A">
      <w:pPr>
        <w:pStyle w:val="NormaAlterada"/>
      </w:pPr>
      <w:r>
        <w:t xml:space="preserve">VI – </w:t>
      </w:r>
      <w:proofErr w:type="gramStart"/>
      <w:r w:rsidRPr="00A01950">
        <w:rPr>
          <w:rFonts w:eastAsia="Arial Unicode MS"/>
          <w:color w:val="000000"/>
        </w:rPr>
        <w:t>emissores</w:t>
      </w:r>
      <w:proofErr w:type="gramEnd"/>
      <w:r>
        <w:t xml:space="preserve"> de Certificados de Operações Estruturadas – COE, Letras Financeiras – LF e </w:t>
      </w:r>
      <w:r w:rsidRPr="00002571">
        <w:t>Letra Imobiliária Garantida – LIG</w:t>
      </w:r>
      <w:r>
        <w:t xml:space="preserve"> que realizem oferta pública desses instrumentos financeiros nos termos da regulamentação específica da CVM que dispõe sobre as ofertas públicas de distribuição de</w:t>
      </w:r>
      <w:r w:rsidRPr="00002571">
        <w:t xml:space="preserve"> COE, LF e LIG</w:t>
      </w:r>
      <w:r>
        <w:t>;</w:t>
      </w:r>
    </w:p>
    <w:p w14:paraId="135B0C09" w14:textId="77777777" w:rsidR="00B03388" w:rsidRDefault="00B03388" w:rsidP="00B03388">
      <w:pPr>
        <w:pStyle w:val="NormaAlterada"/>
      </w:pPr>
      <w:r>
        <w:tab/>
      </w:r>
    </w:p>
    <w:p w14:paraId="4F2A0B03" w14:textId="77777777" w:rsidR="00790683" w:rsidRDefault="00723AAB" w:rsidP="00F2738A">
      <w:pPr>
        <w:pStyle w:val="NormaAlterada"/>
      </w:pPr>
      <w:r>
        <w:t xml:space="preserve">IX – </w:t>
      </w:r>
      <w:proofErr w:type="gramStart"/>
      <w:r>
        <w:t>a</w:t>
      </w:r>
      <w:proofErr w:type="gramEnd"/>
      <w:r>
        <w:t xml:space="preserve"> sociedade cujas ações de propriedade da União, Estados, Distrito Federal e Municípios e demais entidades da Administração Pública sejam objeto de oferta pública de distribuição não sujeita a registro conforme regulamentação específica sobre ofertas públicas de distribuição de valores mobiliários</w:t>
      </w:r>
      <w:r w:rsidR="00790683">
        <w:t>.</w:t>
      </w:r>
    </w:p>
    <w:p w14:paraId="07A1D66E" w14:textId="6DA970FE" w:rsidR="00F2738A" w:rsidRPr="00F2738A" w:rsidRDefault="00790683" w:rsidP="00F2738A">
      <w:pPr>
        <w:pStyle w:val="NormaAlterada"/>
      </w:pPr>
      <w:r>
        <w:tab/>
      </w:r>
      <w:r w:rsidR="00B03388">
        <w:t>”</w:t>
      </w:r>
      <w:r w:rsidR="00EA773F">
        <w:t xml:space="preserve"> (NR)</w:t>
      </w:r>
    </w:p>
    <w:p w14:paraId="356FA051" w14:textId="24F45412" w:rsidR="00EA773F" w:rsidRDefault="00EA773F" w:rsidP="0045003B">
      <w:r w:rsidRPr="00300923">
        <w:t xml:space="preserve">Art. </w:t>
      </w:r>
      <w:r w:rsidR="005237E5">
        <w:t>6</w:t>
      </w:r>
      <w:proofErr w:type="gramStart"/>
      <w:r w:rsidR="005237E5" w:rsidRPr="00300923">
        <w:t xml:space="preserve">º  </w:t>
      </w:r>
      <w:r w:rsidR="00560684">
        <w:t>A</w:t>
      </w:r>
      <w:proofErr w:type="gramEnd"/>
      <w:r w:rsidR="00300923" w:rsidRPr="00300923">
        <w:t xml:space="preserve"> Instrução CVM nº 588, de 13 de julho de 2017, passa a vigorar com a seguinte redação:</w:t>
      </w:r>
    </w:p>
    <w:p w14:paraId="7933B7E3" w14:textId="5EA2836D" w:rsidR="00EA773F" w:rsidRDefault="00F43CF2" w:rsidP="00485E5A">
      <w:pPr>
        <w:pStyle w:val="NormaAlterada"/>
      </w:pPr>
      <w:r>
        <w:t>“Art. 19</w:t>
      </w:r>
      <w:r w:rsidR="00686AC9">
        <w:tab/>
      </w:r>
    </w:p>
    <w:p w14:paraId="78AE1638" w14:textId="77777777" w:rsidR="00307212" w:rsidRDefault="00307212" w:rsidP="00485E5A">
      <w:pPr>
        <w:pStyle w:val="NormaAlterada"/>
      </w:pPr>
      <w:r>
        <w:tab/>
      </w:r>
    </w:p>
    <w:p w14:paraId="3DA19E91" w14:textId="23006304" w:rsidR="0039476C" w:rsidRDefault="009C4E52" w:rsidP="00485E5A">
      <w:pPr>
        <w:pStyle w:val="NormaAlterada"/>
      </w:pPr>
      <w:r>
        <w:t xml:space="preserve">XII – manter disponível e atualizado em página na rede mundial de computadores, programa, aplicativo ou meio eletrônico, sem restrições de acesso para o público em geral, o formulário </w:t>
      </w:r>
      <w:r>
        <w:lastRenderedPageBreak/>
        <w:t>constante do Anexo 5-IV para as sociedades empresárias de pequeno porte que tenham realizado ofertas em seu ambiente digital concluídas com sucesso;</w:t>
      </w:r>
      <w:r w:rsidR="00AD0E10">
        <w:rPr>
          <w:rStyle w:val="Refdenotaderodap"/>
        </w:rPr>
        <w:footnoteReference w:id="6"/>
      </w:r>
    </w:p>
    <w:p w14:paraId="74D6411B" w14:textId="1018DAEA" w:rsidR="009C4E52" w:rsidRDefault="009C4E52" w:rsidP="00485E5A">
      <w:pPr>
        <w:pStyle w:val="NormaAlterada"/>
      </w:pPr>
      <w:r>
        <w:t>XIII – guardar sigilo sobre as informações financeiras e operações realizadas pelos seus clientes; e</w:t>
      </w:r>
      <w:r w:rsidR="00144000">
        <w:rPr>
          <w:rStyle w:val="Refdenotaderodap"/>
        </w:rPr>
        <w:footnoteReference w:id="7"/>
      </w:r>
    </w:p>
    <w:p w14:paraId="444A2B21" w14:textId="7D5CBE28" w:rsidR="0039476C" w:rsidRDefault="009C4E52" w:rsidP="00485E5A">
      <w:pPr>
        <w:pStyle w:val="NormaAlterada"/>
      </w:pPr>
      <w:r>
        <w:t xml:space="preserve">XIV – </w:t>
      </w:r>
      <w:r w:rsidR="00832037">
        <w:t>assegurar</w:t>
      </w:r>
      <w:r w:rsidR="00832037" w:rsidRPr="00580664">
        <w:t xml:space="preserve"> </w:t>
      </w:r>
      <w:r w:rsidR="00C27BF7">
        <w:t xml:space="preserve">que </w:t>
      </w:r>
      <w:r w:rsidRPr="00580664">
        <w:t>a</w:t>
      </w:r>
      <w:r>
        <w:t xml:space="preserve"> taxa prevista no Anexo IV da lei que trata da taxa de fiscalização dos mercados de títulos e valores mobiliários</w:t>
      </w:r>
      <w:r w:rsidR="00C27BF7">
        <w:t xml:space="preserve"> </w:t>
      </w:r>
      <w:r w:rsidR="00C27BF7" w:rsidRPr="00AC720D">
        <w:rPr>
          <w:rFonts w:eastAsia="Times New Roman"/>
          <w:lang w:eastAsia="pt-BR"/>
        </w:rPr>
        <w:t>foi paga pelo ofertante dos valores mobiliários</w:t>
      </w:r>
      <w:r>
        <w:t>, na data de encerramento da oferta encerrada com êxito</w:t>
      </w:r>
      <w:r w:rsidR="00D836EA">
        <w:t>”</w:t>
      </w:r>
      <w:r>
        <w:t>.</w:t>
      </w:r>
      <w:r w:rsidR="00D836EA">
        <w:t xml:space="preserve"> (NR)</w:t>
      </w:r>
    </w:p>
    <w:p w14:paraId="6E0459CE" w14:textId="028F089D" w:rsidR="0080153B" w:rsidRDefault="0080153B" w:rsidP="00485E5A">
      <w:pPr>
        <w:pStyle w:val="NormaAlterada"/>
      </w:pPr>
      <w:r>
        <w:t>“Art. 27</w:t>
      </w:r>
      <w:r w:rsidR="006A2263">
        <w:t>.</w:t>
      </w:r>
      <w:r>
        <w:t xml:space="preserve">  </w:t>
      </w:r>
      <w:r w:rsidR="00555D02" w:rsidRPr="00A42B7B">
        <w:rPr>
          <w:spacing w:val="2"/>
        </w:rPr>
        <w:t>As plataformas devem encaminhar à CVM</w:t>
      </w:r>
      <w:r w:rsidR="00555D02" w:rsidRPr="00A42B7B">
        <w:t xml:space="preserve"> por meio de sistema eletrônico disponível na página da CVM na rede mundial de computadores, os seguintes documentos</w:t>
      </w:r>
      <w:r w:rsidR="00555D02">
        <w:t xml:space="preserve"> e informações</w:t>
      </w:r>
      <w:r w:rsidR="00555D02" w:rsidRPr="00A42B7B">
        <w:t>:</w:t>
      </w:r>
    </w:p>
    <w:p w14:paraId="41C4236F" w14:textId="77777777" w:rsidR="00657373" w:rsidRDefault="00765A2E" w:rsidP="00485E5A">
      <w:pPr>
        <w:pStyle w:val="NormaAlterada"/>
      </w:pPr>
      <w:r w:rsidRPr="00765A2E">
        <w:t xml:space="preserve">I – </w:t>
      </w:r>
      <w:proofErr w:type="gramStart"/>
      <w:r w:rsidRPr="00765A2E">
        <w:t>na</w:t>
      </w:r>
      <w:proofErr w:type="gramEnd"/>
      <w:r w:rsidRPr="00765A2E">
        <w:t xml:space="preserve"> data de início de cada oferta e em até 5 (cinco) dias corridos após o encerramento, as informações descritas no Anexo 27-I; e</w:t>
      </w:r>
    </w:p>
    <w:p w14:paraId="4F50A739" w14:textId="548B9684" w:rsidR="00F43CF2" w:rsidRDefault="00657373" w:rsidP="00485E5A">
      <w:pPr>
        <w:pStyle w:val="NormaAlterada"/>
      </w:pPr>
      <w:r>
        <w:tab/>
      </w:r>
      <w:r w:rsidR="00765A2E">
        <w:t>” (NR)</w:t>
      </w:r>
    </w:p>
    <w:p w14:paraId="795F6A9A" w14:textId="162185C3" w:rsidR="00EF44DE" w:rsidRDefault="00EF44DE" w:rsidP="00EF44DE">
      <w:pPr>
        <w:ind w:left="567" w:firstLine="0"/>
      </w:pPr>
      <w:r w:rsidRPr="00300923">
        <w:t xml:space="preserve">Art. </w:t>
      </w:r>
      <w:r w:rsidR="002A456D">
        <w:t>7</w:t>
      </w:r>
      <w:proofErr w:type="gramStart"/>
      <w:r w:rsidRPr="00300923">
        <w:t xml:space="preserve">º  </w:t>
      </w:r>
      <w:r>
        <w:t>O</w:t>
      </w:r>
      <w:proofErr w:type="gramEnd"/>
      <w:r>
        <w:t xml:space="preserve"> </w:t>
      </w:r>
      <w:r w:rsidR="0045289D">
        <w:t>A</w:t>
      </w:r>
      <w:r>
        <w:t>nexo 27-I da</w:t>
      </w:r>
      <w:r w:rsidRPr="00300923">
        <w:t xml:space="preserve"> Instrução CVM nº 588, de 2017, passa a vigorar com a seguinte redação:</w:t>
      </w:r>
    </w:p>
    <w:p w14:paraId="3ACA3941" w14:textId="732D1DE1" w:rsidR="001E4CFE" w:rsidRDefault="001F18B1" w:rsidP="00485E5A">
      <w:pPr>
        <w:pStyle w:val="NormaAlterada"/>
      </w:pPr>
      <w:r>
        <w:t>“</w:t>
      </w:r>
      <w:r w:rsidR="00B3690D">
        <w:t>INFORMAÇÕES SOBRE O INÍCIO E O ENCERRAMENTO DE OFERTA PÚBLICA DE VALORES MOBILIÁRIOS</w:t>
      </w:r>
      <w:r w:rsidR="005D2FEA">
        <w:t xml:space="preserve"> </w:t>
      </w:r>
      <w:r w:rsidR="00B3690D">
        <w:t>EMITIDOS POR SOCIEDADE EMPRESÁRIA DE PEQUENO PORTE REALIZADA COM DISPENSA DE REGISTRO NA COMISSÃO DE VALORES MOBILIÁRIOS</w:t>
      </w:r>
    </w:p>
    <w:p w14:paraId="1B40F759" w14:textId="5113B65D" w:rsidR="005D2FEA" w:rsidRDefault="00307212" w:rsidP="00485E5A">
      <w:pPr>
        <w:pStyle w:val="NormaAlterada"/>
      </w:pPr>
      <w:r>
        <w:tab/>
      </w:r>
    </w:p>
    <w:p w14:paraId="41BD48C2" w14:textId="77777777" w:rsidR="00D34E85" w:rsidRDefault="00D34E85" w:rsidP="00485E5A">
      <w:pPr>
        <w:pStyle w:val="NormaAlterada"/>
      </w:pPr>
      <w:r>
        <w:t>DADOS SOBRE O ENCERRAMENTO DA OFERTA:</w:t>
      </w:r>
    </w:p>
    <w:p w14:paraId="159D04CF" w14:textId="77777777" w:rsidR="00D34E85" w:rsidRDefault="00D34E85" w:rsidP="00485E5A">
      <w:pPr>
        <w:pStyle w:val="NormaAlterada"/>
      </w:pPr>
      <w:r>
        <w:t>Data de encerramento da oferta:</w:t>
      </w:r>
    </w:p>
    <w:p w14:paraId="43CE33DE" w14:textId="77777777" w:rsidR="00D34E85" w:rsidRDefault="00D34E85" w:rsidP="00485E5A">
      <w:pPr>
        <w:pStyle w:val="NormaAlterada"/>
      </w:pPr>
      <w:r>
        <w:t>Valor total captado: R$</w:t>
      </w:r>
    </w:p>
    <w:p w14:paraId="58A8AE1A" w14:textId="77777777" w:rsidR="00D34E85" w:rsidRDefault="00D34E85" w:rsidP="00485E5A">
      <w:pPr>
        <w:pStyle w:val="NormaAlterada"/>
      </w:pPr>
      <w:r>
        <w:t>Dados finais de colocação, indicando o número de investidores participantes da oferta e os montantes totais adquiridos conforme as seguintes categorias:</w:t>
      </w:r>
    </w:p>
    <w:p w14:paraId="5A2C0F35" w14:textId="77777777" w:rsidR="00D34E85" w:rsidRDefault="00D34E85" w:rsidP="00803584">
      <w:pPr>
        <w:pStyle w:val="NormaAlterada"/>
        <w:ind w:left="709"/>
      </w:pPr>
      <w:r>
        <w:t>a) qualificados;</w:t>
      </w:r>
    </w:p>
    <w:p w14:paraId="67505671" w14:textId="77777777" w:rsidR="00D34E85" w:rsidRDefault="00D34E85" w:rsidP="00803584">
      <w:pPr>
        <w:pStyle w:val="NormaAlterada"/>
        <w:ind w:left="709"/>
      </w:pPr>
      <w:r>
        <w:t>b) não qualificados até R$ 10.000,00 (art. 4º, caput);</w:t>
      </w:r>
    </w:p>
    <w:p w14:paraId="1011265D" w14:textId="77777777" w:rsidR="00D34E85" w:rsidRDefault="00D34E85" w:rsidP="00803584">
      <w:pPr>
        <w:pStyle w:val="NormaAlterada"/>
        <w:ind w:left="709"/>
      </w:pPr>
      <w:r>
        <w:t>c) não qualificados acima de R$ 10.000,00 (art. 4º, III).</w:t>
      </w:r>
    </w:p>
    <w:p w14:paraId="39D6833C" w14:textId="77777777" w:rsidR="00032160" w:rsidRDefault="00D34E85" w:rsidP="00803584">
      <w:pPr>
        <w:pStyle w:val="NormaAlterada"/>
        <w:ind w:left="709"/>
      </w:pPr>
      <w:r>
        <w:lastRenderedPageBreak/>
        <w:t>Nº de referência do pagamento da taxa de fiscalização:</w:t>
      </w:r>
      <w:r w:rsidR="00032160">
        <w:t>” (NR)</w:t>
      </w:r>
    </w:p>
    <w:p w14:paraId="0688C354" w14:textId="69F7F90B" w:rsidR="0002589F" w:rsidRDefault="0002589F" w:rsidP="0002589F">
      <w:r w:rsidRPr="00077D39">
        <w:t xml:space="preserve">Art. </w:t>
      </w:r>
      <w:r w:rsidR="002A456D">
        <w:t>8</w:t>
      </w:r>
      <w:proofErr w:type="gramStart"/>
      <w:r w:rsidR="002A456D">
        <w:t>º</w:t>
      </w:r>
      <w:r w:rsidR="00F17A35">
        <w:t xml:space="preserve"> </w:t>
      </w:r>
      <w:r w:rsidR="00B776F4" w:rsidRPr="00077D39">
        <w:t xml:space="preserve"> </w:t>
      </w:r>
      <w:r w:rsidR="00CC435F">
        <w:t>A</w:t>
      </w:r>
      <w:proofErr w:type="gramEnd"/>
      <w:r w:rsidRPr="00077D39">
        <w:t xml:space="preserve"> Resolução CVM nº 6, de 1</w:t>
      </w:r>
      <w:r w:rsidR="007B6612" w:rsidRPr="00077D39">
        <w:t>4</w:t>
      </w:r>
      <w:r w:rsidRPr="00077D39">
        <w:t xml:space="preserve"> de </w:t>
      </w:r>
      <w:r w:rsidR="007B6612" w:rsidRPr="00077D39">
        <w:t>setembro</w:t>
      </w:r>
      <w:r w:rsidRPr="00077D39">
        <w:t xml:space="preserve"> de 20</w:t>
      </w:r>
      <w:r w:rsidR="007B6612" w:rsidRPr="00077D39">
        <w:t>20</w:t>
      </w:r>
      <w:r w:rsidRPr="00077D39">
        <w:t>, passa a vigorar com a seguinte redação:</w:t>
      </w:r>
    </w:p>
    <w:p w14:paraId="3DB451CB" w14:textId="77777777" w:rsidR="00CC435F" w:rsidRDefault="00077D39" w:rsidP="00485E5A">
      <w:pPr>
        <w:pStyle w:val="NormaAlterada"/>
      </w:pPr>
      <w:r>
        <w:t>“</w:t>
      </w:r>
      <w:r w:rsidR="00745EDE">
        <w:t xml:space="preserve">Art. 1º  </w:t>
      </w:r>
      <w:r w:rsidRPr="00620CC5">
        <w:t xml:space="preserve">A oferta pública de distribuição de </w:t>
      </w:r>
      <w:r>
        <w:t>c</w:t>
      </w:r>
      <w:r w:rsidRPr="00620CC5">
        <w:t xml:space="preserve">ertificados de </w:t>
      </w:r>
      <w:r>
        <w:t>i</w:t>
      </w:r>
      <w:r w:rsidRPr="00620CC5">
        <w:t>nvestimento que caracterizem quotas representativas de direitos de comercialização de obras e projetos específicos da área audiovisual cinematográfica brasileira de produção independente, bem como os de exibição, distribuição e infraestrutura técnica, apresentados por empresa brasileira de capital nacional (“Certificados de Investimento Audiovisua</w:t>
      </w:r>
      <w:r>
        <w:t>l</w:t>
      </w:r>
      <w:r w:rsidRPr="00620CC5">
        <w:t xml:space="preserve">” ou “CAV”), </w:t>
      </w:r>
      <w:r>
        <w:t>não está sujeita a</w:t>
      </w:r>
      <w:r w:rsidRPr="00620CC5">
        <w:t xml:space="preserve"> registro na CVM, observados os termos desta </w:t>
      </w:r>
      <w:r>
        <w:t>Resolução</w:t>
      </w:r>
      <w:r w:rsidRPr="00620CC5">
        <w:t>.</w:t>
      </w:r>
    </w:p>
    <w:p w14:paraId="35470B37" w14:textId="152B9252" w:rsidR="00077D39" w:rsidRDefault="00CC435F" w:rsidP="00485E5A">
      <w:pPr>
        <w:pStyle w:val="NormaAlterada"/>
      </w:pPr>
      <w:r>
        <w:tab/>
      </w:r>
      <w:r w:rsidR="00077D39">
        <w:t>” (NR)</w:t>
      </w:r>
    </w:p>
    <w:p w14:paraId="46FD9011" w14:textId="47FDABF9" w:rsidR="004148F7" w:rsidRDefault="004148F7" w:rsidP="00485E5A">
      <w:pPr>
        <w:pStyle w:val="NormaAlterada"/>
      </w:pPr>
      <w:r>
        <w:t>“</w:t>
      </w:r>
      <w:r w:rsidRPr="004148F7">
        <w:t>Art. 4</w:t>
      </w:r>
      <w:proofErr w:type="gramStart"/>
      <w:r w:rsidRPr="004148F7">
        <w:t>º  A</w:t>
      </w:r>
      <w:proofErr w:type="gramEnd"/>
      <w:r w:rsidRPr="004148F7">
        <w:t xml:space="preserve"> oferta pública de distribuição de Certificados de Investimento Audiovisual realizada nos termos desta Resolução deve ser realizada por instituições intermediárias habilitadas a atuar como integrantes do sistema de distribuição de valores mobiliários.</w:t>
      </w:r>
      <w:r>
        <w:t>” (NR)</w:t>
      </w:r>
    </w:p>
    <w:p w14:paraId="6539D4C0" w14:textId="043C68F4" w:rsidR="009B3C5C" w:rsidRDefault="002E2CFA" w:rsidP="00485E5A">
      <w:pPr>
        <w:pStyle w:val="NormaAlterada"/>
      </w:pPr>
      <w:r>
        <w:t>“</w:t>
      </w:r>
      <w:r w:rsidR="009B3C5C" w:rsidRPr="009B3C5C">
        <w:t>Art. 9º</w:t>
      </w:r>
      <w:r w:rsidR="00307212">
        <w:tab/>
      </w:r>
    </w:p>
    <w:p w14:paraId="3CF31316" w14:textId="54301752" w:rsidR="00307212" w:rsidRDefault="00307212" w:rsidP="00485E5A">
      <w:pPr>
        <w:pStyle w:val="NormaAlterada"/>
      </w:pPr>
      <w:r>
        <w:tab/>
      </w:r>
    </w:p>
    <w:p w14:paraId="1E5AD7FC" w14:textId="4C48928E" w:rsidR="00934D9C" w:rsidRDefault="00483F36" w:rsidP="00485E5A">
      <w:pPr>
        <w:pStyle w:val="NormaAlterada"/>
      </w:pPr>
      <w:r w:rsidRPr="00483F36">
        <w:t xml:space="preserve">Parágrafo único.  O DIE deve conter advertência com os seguintes dizeres: “A presente oferta não está sujeita a registro na Comissão de Valores Mobiliários </w:t>
      </w:r>
      <w:r w:rsidR="0039476C">
        <w:t>–</w:t>
      </w:r>
      <w:r w:rsidRPr="00483F36">
        <w:t xml:space="preserve"> CVM. A distribuição de Certificados de Investimentos Audiovisual para a produção, distribuição, exibição e infraestrutura técnica de obras audiovisuais cinematográficas brasileiras não implica, por parte dos órgãos reguladores, garantia de veracidade das informações prestadas ou de adequação do certificado à legislação vigente ou julgamento sobre a qualidade da empresa emissora ou da instituição intermediária.”</w:t>
      </w:r>
      <w:r w:rsidR="00A21BC7">
        <w:t xml:space="preserve"> (NR)</w:t>
      </w:r>
    </w:p>
    <w:p w14:paraId="5068D189" w14:textId="3AD2987E" w:rsidR="00F627C3" w:rsidRDefault="00747BD6" w:rsidP="004419CD">
      <w:pPr>
        <w:ind w:left="567" w:firstLine="0"/>
      </w:pPr>
      <w:r w:rsidRPr="00F627C3">
        <w:t>Art.</w:t>
      </w:r>
      <w:r w:rsidR="00F627C3" w:rsidRPr="00F627C3">
        <w:t xml:space="preserve"> </w:t>
      </w:r>
      <w:r w:rsidR="00F17A35">
        <w:t>9</w:t>
      </w:r>
      <w:proofErr w:type="gramStart"/>
      <w:r w:rsidR="00F627C3" w:rsidRPr="00F627C3">
        <w:t>º  A</w:t>
      </w:r>
      <w:proofErr w:type="gramEnd"/>
      <w:r w:rsidR="00F627C3" w:rsidRPr="00F627C3">
        <w:t xml:space="preserve"> </w:t>
      </w:r>
      <w:r w:rsidR="00A60F31">
        <w:t>ementa da</w:t>
      </w:r>
      <w:r w:rsidR="00F627C3" w:rsidRPr="00F627C3">
        <w:t xml:space="preserve"> Resolução CVM nº </w:t>
      </w:r>
      <w:r w:rsidR="00F627C3">
        <w:t>8</w:t>
      </w:r>
      <w:r w:rsidR="00F627C3" w:rsidRPr="00F627C3">
        <w:t>, de 14 de setembro de 2020, passa a vigorar com</w:t>
      </w:r>
      <w:r w:rsidR="00F627C3" w:rsidRPr="00077D39">
        <w:t xml:space="preserve"> a seguinte redação:</w:t>
      </w:r>
    </w:p>
    <w:p w14:paraId="5666740E" w14:textId="10146F4D" w:rsidR="007F4294" w:rsidRPr="007F4294" w:rsidRDefault="00E94AA5" w:rsidP="00A60F31">
      <w:pPr>
        <w:pStyle w:val="Ementa"/>
        <w:ind w:left="567"/>
      </w:pPr>
      <w:r>
        <w:t>“</w:t>
      </w:r>
      <w:r w:rsidRPr="00EB3CCA">
        <w:t>Dispõe sobre as ofertas públicas de distribuição de Certificado de Operações Estruturadas – COE e dos títulos de crédito Letra Financeira – LF e Letra Imobiliária Garantida – LIG, altera dispositivos da Instrução CVM nº 400, de 29 dezembro de 2003, da Instrução CVM nº 476, de 16 de janeiro de 2009, da Instrução CVM nº 480, de 7 de dezembro de 2009, e da Instrução CVM nº 541, de 20 de dezembro de 2013, e revoga a Instrução CVM nº 569, de 14 de outubro de 2015</w:t>
      </w:r>
      <w:r w:rsidRPr="00EC4278">
        <w:t>.</w:t>
      </w:r>
      <w:r>
        <w:t>”</w:t>
      </w:r>
    </w:p>
    <w:p w14:paraId="458302B9" w14:textId="4E71BD88" w:rsidR="00A60F31" w:rsidRDefault="00A60F31" w:rsidP="00A60F31">
      <w:r w:rsidRPr="00F627C3">
        <w:t xml:space="preserve">Art. </w:t>
      </w:r>
      <w:r w:rsidR="00F17A35">
        <w:t xml:space="preserve">10.  </w:t>
      </w:r>
      <w:r w:rsidR="00CC435F">
        <w:t>A</w:t>
      </w:r>
      <w:r>
        <w:t xml:space="preserve"> </w:t>
      </w:r>
      <w:r w:rsidRPr="00F627C3">
        <w:t xml:space="preserve">Resolução CVM nº </w:t>
      </w:r>
      <w:r>
        <w:t>8</w:t>
      </w:r>
      <w:r w:rsidRPr="00F627C3">
        <w:t>, de 2020, passa a vigorar com</w:t>
      </w:r>
      <w:r w:rsidRPr="00077D39">
        <w:t xml:space="preserve"> a seguinte redação:</w:t>
      </w:r>
      <w:bookmarkStart w:id="1" w:name="_GoBack"/>
      <w:bookmarkEnd w:id="1"/>
    </w:p>
    <w:p w14:paraId="4751CC63" w14:textId="77777777" w:rsidR="0039476C" w:rsidRDefault="007302B9" w:rsidP="005B2DB1">
      <w:pPr>
        <w:pStyle w:val="NormaAlterada"/>
      </w:pPr>
      <w:r>
        <w:lastRenderedPageBreak/>
        <w:t>“</w:t>
      </w:r>
      <w:r w:rsidRPr="00D230FF">
        <w:t>Art. 1</w:t>
      </w:r>
      <w:proofErr w:type="gramStart"/>
      <w:r w:rsidRPr="00D230FF">
        <w:t>º</w:t>
      </w:r>
      <w:r>
        <w:t xml:space="preserve">  Esta</w:t>
      </w:r>
      <w:proofErr w:type="gramEnd"/>
      <w:r>
        <w:t xml:space="preserve"> Resolução regula as ofertas públicas de distribuição do Certificado de Operações Estruturadas – COE e dos títulos de crédito Letra Financeira – LF e Letra Imobiliária Garantida – LIG, e tem por fim assegurar a proteção dos investidores e do mercado em geral, por meio de requisitos de adequada divulgação de informações sobre os certificados e títulos</w:t>
      </w:r>
      <w:r w:rsidRPr="00EC4278">
        <w:t>.</w:t>
      </w:r>
    </w:p>
    <w:p w14:paraId="1E57EDE3" w14:textId="77777777" w:rsidR="0039476C" w:rsidRDefault="007302B9" w:rsidP="005B2DB1">
      <w:pPr>
        <w:pStyle w:val="NormaAlterada"/>
      </w:pPr>
      <w:r w:rsidRPr="00EC4278">
        <w:t xml:space="preserve">Parágrafo único.  </w:t>
      </w:r>
      <w:r>
        <w:t>Não se aplicam à oferta pública de distribuição de COE, LF ou LIG realizada nos termos desta Resolução as disposições gerais definidas em regulamentação específica sobre ofertas públicas de distribuição de valores mobiliários</w:t>
      </w:r>
      <w:r w:rsidRPr="00EC4278">
        <w:t>.</w:t>
      </w:r>
      <w:r>
        <w:t>” (NR)</w:t>
      </w:r>
    </w:p>
    <w:p w14:paraId="13711805" w14:textId="227930F5" w:rsidR="00E94AA5" w:rsidRDefault="005E690A" w:rsidP="005B2DB1">
      <w:pPr>
        <w:pStyle w:val="NormaAlterada"/>
      </w:pPr>
      <w:r>
        <w:t>“</w:t>
      </w:r>
      <w:r w:rsidRPr="005E690A">
        <w:t>Art. 2</w:t>
      </w:r>
      <w:proofErr w:type="gramStart"/>
      <w:r w:rsidRPr="005E690A">
        <w:t>º  A</w:t>
      </w:r>
      <w:proofErr w:type="gramEnd"/>
      <w:r w:rsidRPr="005E690A">
        <w:t xml:space="preserve"> oferta pública de distribuição de COE, LF ou LIG realizada nos termos desta Resolução não está sujeita a registro na CVM e será realizada por instituições intermediárias habilitadas a atuar como integrantes do sistema de distribuição de valores mobiliários.</w:t>
      </w:r>
      <w:r>
        <w:t>”</w:t>
      </w:r>
      <w:r w:rsidRPr="005E690A">
        <w:t xml:space="preserve"> </w:t>
      </w:r>
      <w:r>
        <w:t>(NR)</w:t>
      </w:r>
    </w:p>
    <w:p w14:paraId="64700760" w14:textId="53FB8B4F" w:rsidR="005E7C01" w:rsidRDefault="006E3FE2" w:rsidP="005B2DB1">
      <w:pPr>
        <w:pStyle w:val="NormaAlterada"/>
      </w:pPr>
      <w:r>
        <w:t>“</w:t>
      </w:r>
      <w:r w:rsidRPr="007A48E2">
        <w:t>Art. 8</w:t>
      </w:r>
      <w:proofErr w:type="gramStart"/>
      <w:r w:rsidRPr="007A48E2">
        <w:t>º</w:t>
      </w:r>
      <w:r>
        <w:t xml:space="preserve"> </w:t>
      </w:r>
      <w:r w:rsidRPr="007A48E2">
        <w:t xml:space="preserve"> A</w:t>
      </w:r>
      <w:proofErr w:type="gramEnd"/>
      <w:r w:rsidRPr="007A48E2">
        <w:t xml:space="preserve"> utilização de qualquer texto publicitário para oferta, anúncio ou promoção nas ofertas públicas de distribuição de COE, LF ou LIG nos termos desta </w:t>
      </w:r>
      <w:r>
        <w:t>Resolução</w:t>
      </w:r>
      <w:r w:rsidRPr="007A48E2">
        <w:t>, por qualquer forma ou meio veiculados, inclusive audiovisual, deve:</w:t>
      </w:r>
    </w:p>
    <w:p w14:paraId="7BDF2A31" w14:textId="7374C9CD" w:rsidR="005E7C01" w:rsidRDefault="00307212" w:rsidP="005B2DB1">
      <w:pPr>
        <w:pStyle w:val="NormaAlterada"/>
      </w:pPr>
      <w:r>
        <w:tab/>
      </w:r>
    </w:p>
    <w:p w14:paraId="64288734" w14:textId="6E2526A8" w:rsidR="006E3FE2" w:rsidRDefault="005E7C01" w:rsidP="005B2DB1">
      <w:pPr>
        <w:pStyle w:val="NormaAlterada"/>
      </w:pPr>
      <w:r w:rsidRPr="007A48E2">
        <w:t xml:space="preserve">VII – incluir advertência em destaque com a seguinte redação “A presente oferta </w:t>
      </w:r>
      <w:r>
        <w:rPr>
          <w:rFonts w:eastAsia="Times New Roman"/>
        </w:rPr>
        <w:t>não está sujeita a registro na</w:t>
      </w:r>
      <w:r>
        <w:t xml:space="preserve"> </w:t>
      </w:r>
      <w:r w:rsidRPr="007A48E2">
        <w:t xml:space="preserve">Comissão de Valores Mobiliários </w:t>
      </w:r>
      <w:r w:rsidR="0039476C">
        <w:t>–</w:t>
      </w:r>
      <w:r w:rsidRPr="007A48E2">
        <w:t xml:space="preserve"> CVM. A CVM não analisou previamente esta oferta. A distribuição [do Certificado de Operações Estruturadas – COE], [da Letra Financeira – LF] ou [da Letra Imobiliária Garantida – LIG] não implica, por parte da CVM, a garantia de veracidade das informações prestadas, de adequação [do Certificado] ou [da Letra] à legislação vigente ou julgamento sobre a qualidade do emissor ou da instituição intermediária”.</w:t>
      </w:r>
      <w:r w:rsidR="00263ACF">
        <w:t>”</w:t>
      </w:r>
      <w:r w:rsidR="000A601D">
        <w:t xml:space="preserve"> </w:t>
      </w:r>
      <w:r w:rsidR="006E3FE2">
        <w:t>(NR)</w:t>
      </w:r>
    </w:p>
    <w:p w14:paraId="0FD0E54E" w14:textId="4DF98EA9" w:rsidR="00087D47" w:rsidRDefault="00087D47" w:rsidP="005B2DB1">
      <w:pPr>
        <w:pStyle w:val="NormaAlterada"/>
      </w:pPr>
      <w:r>
        <w:t>“</w:t>
      </w:r>
      <w:r w:rsidRPr="00255F97">
        <w:t xml:space="preserve">Art. </w:t>
      </w:r>
      <w:r>
        <w:t>10.</w:t>
      </w:r>
      <w:r w:rsidRPr="00255F97">
        <w:t xml:space="preserve">  A instituição emissora é a responsável pela veracidade, consistência, qualidade e suficiência das informações fornecidas para fins da realização de oferta pública realizada nos termos desta Resolução.</w:t>
      </w:r>
    </w:p>
    <w:p w14:paraId="7A691A2F" w14:textId="1A12AA8E" w:rsidR="00087D47" w:rsidRDefault="00AF733C" w:rsidP="005B2DB1">
      <w:pPr>
        <w:pStyle w:val="NormaAlterada"/>
      </w:pPr>
      <w:r>
        <w:t>Parágrafo único.</w:t>
      </w:r>
      <w:r w:rsidR="00D85F44">
        <w:tab/>
      </w:r>
    </w:p>
    <w:p w14:paraId="3564E31A" w14:textId="12BC1256" w:rsidR="00087D47" w:rsidRDefault="00AF733C" w:rsidP="005B2DB1">
      <w:pPr>
        <w:pStyle w:val="NormaAlterada"/>
      </w:pPr>
      <w:r w:rsidRPr="00AF733C">
        <w:t xml:space="preserve">I – </w:t>
      </w:r>
      <w:proofErr w:type="gramStart"/>
      <w:r w:rsidRPr="00AF733C">
        <w:t>as</w:t>
      </w:r>
      <w:proofErr w:type="gramEnd"/>
      <w:r w:rsidRPr="00AF733C">
        <w:t xml:space="preserve"> informações prestadas pelo emissor são verdadeiras, consistentes, atuais, corretas e suficientes, permitindo aos investidores uma tomada de decisão fundamentada a respeito da oferta pública; e</w:t>
      </w:r>
      <w:r w:rsidR="00AE099C">
        <w:t>” (NR)</w:t>
      </w:r>
    </w:p>
    <w:p w14:paraId="54181B66" w14:textId="47CEC5B5" w:rsidR="00C27BF7" w:rsidRDefault="00C27BF7" w:rsidP="00C27BF7">
      <w:pPr>
        <w:pStyle w:val="NormaAlterada"/>
      </w:pPr>
      <w:r>
        <w:t>“Art. 21.  ...........................................................</w:t>
      </w:r>
    </w:p>
    <w:p w14:paraId="62837A55" w14:textId="7B804D5E" w:rsidR="00C27BF7" w:rsidRDefault="00C27BF7" w:rsidP="00C27BF7">
      <w:pPr>
        <w:pStyle w:val="NormaAlterada"/>
      </w:pPr>
      <w:r>
        <w:lastRenderedPageBreak/>
        <w:t xml:space="preserve">I – </w:t>
      </w:r>
      <w:proofErr w:type="gramStart"/>
      <w:r>
        <w:t>a</w:t>
      </w:r>
      <w:proofErr w:type="gramEnd"/>
      <w:r>
        <w:t xml:space="preserve"> realização de oferta pública de COE, LF ou LIG com inobservância dos </w:t>
      </w:r>
      <w:proofErr w:type="spellStart"/>
      <w:r>
        <w:t>arts</w:t>
      </w:r>
      <w:proofErr w:type="spellEnd"/>
      <w:r>
        <w:t>. 2º, 3º, 5º a 10, 12 e 13 desta Resolução; e</w:t>
      </w:r>
    </w:p>
    <w:p w14:paraId="04250803" w14:textId="3C10E663" w:rsidR="00C27BF7" w:rsidRDefault="00C27BF7" w:rsidP="00C27BF7">
      <w:pPr>
        <w:pStyle w:val="NormaAlterada"/>
      </w:pPr>
      <w:r>
        <w:t>...........................................................................</w:t>
      </w:r>
      <w:proofErr w:type="gramStart"/>
      <w:r>
        <w:t>”(</w:t>
      </w:r>
      <w:proofErr w:type="gramEnd"/>
      <w:r>
        <w:t>NR)</w:t>
      </w:r>
    </w:p>
    <w:p w14:paraId="7277151A" w14:textId="14DE0C21" w:rsidR="00551B90" w:rsidRDefault="007828F6" w:rsidP="00551B90">
      <w:r w:rsidRPr="00F627C3">
        <w:t xml:space="preserve">Art. </w:t>
      </w:r>
      <w:r>
        <w:t>11.  O</w:t>
      </w:r>
      <w:r w:rsidR="00551B90">
        <w:t xml:space="preserve"> Anexo A da </w:t>
      </w:r>
      <w:r w:rsidR="00551B90" w:rsidRPr="00F627C3">
        <w:t xml:space="preserve">Resolução CVM nº </w:t>
      </w:r>
      <w:r w:rsidR="00551B90">
        <w:t>8</w:t>
      </w:r>
      <w:r w:rsidR="00551B90" w:rsidRPr="00F627C3">
        <w:t>, de 2020, passa a vigorar com</w:t>
      </w:r>
      <w:r w:rsidR="00551B90" w:rsidRPr="00077D39">
        <w:t xml:space="preserve"> a seguinte redação:</w:t>
      </w:r>
    </w:p>
    <w:p w14:paraId="15BC0E6D" w14:textId="34D66C6E" w:rsidR="000E1901" w:rsidRPr="00C51D13" w:rsidRDefault="000E1901" w:rsidP="005B2DB1">
      <w:pPr>
        <w:pStyle w:val="NormaAlterada"/>
      </w:pPr>
      <w:r>
        <w:t>“</w:t>
      </w:r>
      <w:r w:rsidRPr="00C51D13">
        <w:t xml:space="preserve">ANEXO A À RESOLUÇÃO CVM Nº </w:t>
      </w:r>
      <w:r>
        <w:t>8</w:t>
      </w:r>
      <w:r w:rsidRPr="00C51D13">
        <w:t xml:space="preserve">, DE </w:t>
      </w:r>
      <w:r>
        <w:t>14</w:t>
      </w:r>
      <w:r w:rsidRPr="00C51D13">
        <w:t xml:space="preserve"> DE </w:t>
      </w:r>
      <w:r>
        <w:t>OUTUBRO</w:t>
      </w:r>
      <w:r w:rsidRPr="00C51D13">
        <w:t xml:space="preserve"> DE </w:t>
      </w:r>
      <w:r>
        <w:t>2020</w:t>
      </w:r>
    </w:p>
    <w:p w14:paraId="17538660" w14:textId="77777777" w:rsidR="00D85F44" w:rsidRDefault="00D85F44" w:rsidP="005B2DB1">
      <w:pPr>
        <w:pStyle w:val="NormaAlterada"/>
      </w:pPr>
      <w:r>
        <w:tab/>
      </w:r>
    </w:p>
    <w:p w14:paraId="594C1CCA" w14:textId="77777777" w:rsidR="00D85F44" w:rsidRDefault="00D85F44" w:rsidP="005B2DB1">
      <w:pPr>
        <w:pStyle w:val="NormaAlterada"/>
      </w:pPr>
      <w:r>
        <w:tab/>
      </w:r>
    </w:p>
    <w:p w14:paraId="768E5DAD" w14:textId="60E44C45" w:rsidR="00AE099C" w:rsidRDefault="00FF383F" w:rsidP="005B2DB1">
      <w:pPr>
        <w:pStyle w:val="NormaAlterada"/>
      </w:pPr>
      <w:r w:rsidRPr="00FF383F">
        <w:t xml:space="preserve">XIX – advertência em destaque com a seguinte redação: “A presente oferta não está sujeita a registro na Comissão de Valores Mobiliários </w:t>
      </w:r>
      <w:r w:rsidR="0039476C">
        <w:t>–</w:t>
      </w:r>
      <w:r w:rsidRPr="00FF383F">
        <w:t xml:space="preserve"> CVM. A CVM não analisou previamente esta oferta. A distribuição do Certificado de Operações Estruturadas – COE não implica, por parte da CVM, a garantia de veracidade das informações prestadas, de adequação do Certificado à legislação vigente ou julgamento sobre a qualidade do emissor ou da instituição intermediária.”;</w:t>
      </w:r>
    </w:p>
    <w:p w14:paraId="7144844A" w14:textId="1BEEC343" w:rsidR="00FC5E99" w:rsidRDefault="00FC5E99" w:rsidP="005B2DB1">
      <w:pPr>
        <w:pStyle w:val="NormaAlterada"/>
      </w:pPr>
      <w:r>
        <w:tab/>
        <w:t>” (NR)</w:t>
      </w:r>
    </w:p>
    <w:p w14:paraId="156020F4" w14:textId="2583F81A" w:rsidR="00551B90" w:rsidRDefault="00551B90" w:rsidP="00551B90">
      <w:r w:rsidRPr="00F627C3">
        <w:t xml:space="preserve">Art. </w:t>
      </w:r>
      <w:r>
        <w:t xml:space="preserve">12.  O Anexo B da </w:t>
      </w:r>
      <w:r w:rsidRPr="00F627C3">
        <w:t xml:space="preserve">Resolução CVM nº </w:t>
      </w:r>
      <w:r>
        <w:t>8</w:t>
      </w:r>
      <w:r w:rsidRPr="00F627C3">
        <w:t>, de 2020, passa a vigorar com</w:t>
      </w:r>
      <w:r w:rsidRPr="00077D39">
        <w:t xml:space="preserve"> a seguinte redação:</w:t>
      </w:r>
    </w:p>
    <w:p w14:paraId="1657B046" w14:textId="710B584D" w:rsidR="00CF0BAD" w:rsidRPr="00C51D13" w:rsidRDefault="00065A6D" w:rsidP="005B2DB1">
      <w:pPr>
        <w:pStyle w:val="NormaAlterada"/>
      </w:pPr>
      <w:r>
        <w:t>“</w:t>
      </w:r>
      <w:r w:rsidR="00CF0BAD" w:rsidRPr="00C51D13">
        <w:t xml:space="preserve">ANEXO </w:t>
      </w:r>
      <w:r w:rsidR="00CF0BAD">
        <w:t>B</w:t>
      </w:r>
      <w:r w:rsidR="00CF0BAD" w:rsidRPr="00C51D13">
        <w:t xml:space="preserve"> À RESOLUÇÃO CVM Nº </w:t>
      </w:r>
      <w:r w:rsidR="00CF0BAD">
        <w:t>8</w:t>
      </w:r>
      <w:r w:rsidR="00CF0BAD" w:rsidRPr="00C51D13">
        <w:t xml:space="preserve">, DE </w:t>
      </w:r>
      <w:r w:rsidR="00CF0BAD">
        <w:t>14</w:t>
      </w:r>
      <w:r w:rsidR="00CF0BAD" w:rsidRPr="00C51D13">
        <w:t xml:space="preserve"> DE </w:t>
      </w:r>
      <w:r w:rsidR="00CF0BAD">
        <w:t>OUTUBRO</w:t>
      </w:r>
      <w:r w:rsidR="00CF0BAD" w:rsidRPr="00C51D13">
        <w:t xml:space="preserve"> DE </w:t>
      </w:r>
      <w:r w:rsidR="00CF0BAD">
        <w:t>2020</w:t>
      </w:r>
    </w:p>
    <w:p w14:paraId="509704A2" w14:textId="77777777" w:rsidR="00D85F44" w:rsidRDefault="00D85F44" w:rsidP="005B2DB1">
      <w:pPr>
        <w:pStyle w:val="NormaAlterada"/>
      </w:pPr>
      <w:r>
        <w:tab/>
      </w:r>
    </w:p>
    <w:p w14:paraId="185D71CC" w14:textId="77777777" w:rsidR="00D85F44" w:rsidRDefault="00D85F44" w:rsidP="005B2DB1">
      <w:pPr>
        <w:pStyle w:val="NormaAlterada"/>
      </w:pPr>
      <w:r>
        <w:tab/>
      </w:r>
    </w:p>
    <w:p w14:paraId="38E20E5B" w14:textId="77777777" w:rsidR="00FC5E99" w:rsidRDefault="00240143" w:rsidP="005B2DB1">
      <w:pPr>
        <w:pStyle w:val="NormaAlterada"/>
      </w:pPr>
      <w:r w:rsidRPr="00240143">
        <w:t xml:space="preserve">XIX – advertência em destaque com a seguinte redação: “A presente oferta não está sujeita a registro na Comissão de Valores Mobiliários </w:t>
      </w:r>
      <w:r w:rsidR="0039476C">
        <w:t>–</w:t>
      </w:r>
      <w:r w:rsidRPr="00240143">
        <w:t xml:space="preserve"> CVM. A CVM não analisou previamente esta oferta. A distribuição da Letra Financeira – LF não implica, por parte da CVM, a garantia de veracidade das informações prestadas, de adequação da LF à legislação vigente ou julgamento sobre a qualidade do emissor ou da instituição intermediária.”;</w:t>
      </w:r>
      <w:r w:rsidR="00065A6D">
        <w:t>”</w:t>
      </w:r>
    </w:p>
    <w:p w14:paraId="7B7D6509" w14:textId="3E4AF235" w:rsidR="00747BD6" w:rsidRDefault="00FC5E99" w:rsidP="005B2DB1">
      <w:pPr>
        <w:pStyle w:val="NormaAlterada"/>
      </w:pPr>
      <w:r>
        <w:tab/>
      </w:r>
      <w:proofErr w:type="gramStart"/>
      <w:r>
        <w:t>”</w:t>
      </w:r>
      <w:r w:rsidR="00065A6D">
        <w:t>(</w:t>
      </w:r>
      <w:proofErr w:type="gramEnd"/>
      <w:r w:rsidR="00065A6D">
        <w:t>NR)</w:t>
      </w:r>
    </w:p>
    <w:p w14:paraId="443BBB8E" w14:textId="52D1B411" w:rsidR="00551B90" w:rsidRDefault="00551B90" w:rsidP="00551B90">
      <w:r w:rsidRPr="00F627C3">
        <w:t xml:space="preserve">Art. </w:t>
      </w:r>
      <w:r>
        <w:t xml:space="preserve">13.  O Anexo </w:t>
      </w:r>
      <w:r w:rsidR="00CD4940">
        <w:t>C</w:t>
      </w:r>
      <w:r>
        <w:t xml:space="preserve"> da </w:t>
      </w:r>
      <w:r w:rsidRPr="00F627C3">
        <w:t xml:space="preserve">Resolução CVM nº </w:t>
      </w:r>
      <w:r>
        <w:t>8</w:t>
      </w:r>
      <w:r w:rsidRPr="00F627C3">
        <w:t>, de 2020, passa a vigorar com</w:t>
      </w:r>
      <w:r w:rsidRPr="00077D39">
        <w:t xml:space="preserve"> a seguinte redação:</w:t>
      </w:r>
    </w:p>
    <w:p w14:paraId="1EADDB58" w14:textId="284F069B" w:rsidR="00065A6D" w:rsidRDefault="008A3CAA" w:rsidP="005B2DB1">
      <w:pPr>
        <w:pStyle w:val="NormaAlterada"/>
      </w:pPr>
      <w:r>
        <w:t>“</w:t>
      </w:r>
      <w:r w:rsidRPr="00C51D13">
        <w:t xml:space="preserve">ANEXO </w:t>
      </w:r>
      <w:r>
        <w:t>C</w:t>
      </w:r>
      <w:r w:rsidRPr="00C51D13">
        <w:t xml:space="preserve"> À RESOLUÇÃO CVM Nº </w:t>
      </w:r>
      <w:r>
        <w:t>8</w:t>
      </w:r>
      <w:r w:rsidRPr="00C51D13">
        <w:t xml:space="preserve">, DE </w:t>
      </w:r>
      <w:r>
        <w:t>14</w:t>
      </w:r>
      <w:r w:rsidRPr="00C51D13">
        <w:t xml:space="preserve"> DE </w:t>
      </w:r>
      <w:r>
        <w:t>OUTUBRO</w:t>
      </w:r>
      <w:r w:rsidRPr="00C51D13">
        <w:t xml:space="preserve"> DE </w:t>
      </w:r>
      <w:r>
        <w:t>2020</w:t>
      </w:r>
    </w:p>
    <w:p w14:paraId="5E96DE31" w14:textId="77777777" w:rsidR="00D85F44" w:rsidRDefault="00D85F44" w:rsidP="005B2DB1">
      <w:pPr>
        <w:pStyle w:val="NormaAlterada"/>
      </w:pPr>
      <w:r>
        <w:tab/>
      </w:r>
    </w:p>
    <w:p w14:paraId="455086B2" w14:textId="77777777" w:rsidR="00D85F44" w:rsidRDefault="00D85F44" w:rsidP="005B2DB1">
      <w:pPr>
        <w:pStyle w:val="NormaAlterada"/>
      </w:pPr>
      <w:r>
        <w:tab/>
      </w:r>
    </w:p>
    <w:p w14:paraId="4DC8413B" w14:textId="77777777" w:rsidR="006C4F93" w:rsidRDefault="00823D59" w:rsidP="005B2DB1">
      <w:pPr>
        <w:pStyle w:val="NormaAlterada"/>
      </w:pPr>
      <w:r w:rsidRPr="001A33CC">
        <w:lastRenderedPageBreak/>
        <w:t>XXV – advertência em destaque com a seguinte redação: “A presente oferta</w:t>
      </w:r>
      <w:r>
        <w:t xml:space="preserve"> </w:t>
      </w:r>
      <w:r>
        <w:rPr>
          <w:rFonts w:eastAsia="Times New Roman"/>
        </w:rPr>
        <w:t>não está sujeita a registro na</w:t>
      </w:r>
      <w:r>
        <w:t xml:space="preserve"> </w:t>
      </w:r>
      <w:r w:rsidRPr="001A33CC">
        <w:t xml:space="preserve">Comissão de Valores Mobiliários </w:t>
      </w:r>
      <w:r w:rsidR="0039476C">
        <w:t>–</w:t>
      </w:r>
      <w:r w:rsidRPr="001A33CC">
        <w:t xml:space="preserve"> CVM. A CVM</w:t>
      </w:r>
      <w:r>
        <w:t xml:space="preserve"> </w:t>
      </w:r>
      <w:r w:rsidRPr="001A33CC">
        <w:t>não analisa previamente a oferta. A distribuição da Letra Imobiliária Garantida – LIG não implica,</w:t>
      </w:r>
      <w:r>
        <w:t xml:space="preserve"> </w:t>
      </w:r>
      <w:r w:rsidRPr="001A33CC">
        <w:t>por parte da CVM, a garantia de veracidade das informações prestadas, de adequação da L</w:t>
      </w:r>
      <w:r>
        <w:t>IG</w:t>
      </w:r>
      <w:r w:rsidRPr="001A33CC">
        <w:t xml:space="preserve"> à</w:t>
      </w:r>
      <w:r>
        <w:t xml:space="preserve"> </w:t>
      </w:r>
      <w:r w:rsidRPr="001A33CC">
        <w:t>legislação vigente ou julgamento sobre a qualidade do emissor ou da instituição intermediária.”;</w:t>
      </w:r>
      <w:r>
        <w:t>”</w:t>
      </w:r>
    </w:p>
    <w:p w14:paraId="4412B743" w14:textId="090B9035" w:rsidR="00823D59" w:rsidRDefault="006C4F93" w:rsidP="005B2DB1">
      <w:pPr>
        <w:pStyle w:val="NormaAlterada"/>
      </w:pPr>
      <w:r>
        <w:tab/>
        <w:t>”</w:t>
      </w:r>
      <w:r w:rsidR="00823D59">
        <w:t xml:space="preserve"> (NR)</w:t>
      </w:r>
    </w:p>
    <w:p w14:paraId="293B7A7C" w14:textId="51F5D9F9" w:rsidR="005F79A6" w:rsidRDefault="005F79A6" w:rsidP="00CA3EB3">
      <w:pPr>
        <w:pStyle w:val="NormaAlterada"/>
        <w:ind w:left="0" w:firstLine="567"/>
      </w:pPr>
      <w:r w:rsidRPr="00F627C3">
        <w:t xml:space="preserve">Art. </w:t>
      </w:r>
      <w:r w:rsidR="00551B90">
        <w:t>14</w:t>
      </w:r>
      <w:r w:rsidR="00C53438">
        <w:t>.</w:t>
      </w:r>
      <w:r w:rsidRPr="00F627C3">
        <w:t xml:space="preserve">  </w:t>
      </w:r>
      <w:r w:rsidR="00CC435F">
        <w:t>A</w:t>
      </w:r>
      <w:r w:rsidRPr="00F627C3">
        <w:t xml:space="preserve"> Resolução CVM nº </w:t>
      </w:r>
      <w:r>
        <w:t>54</w:t>
      </w:r>
      <w:r w:rsidRPr="00F627C3">
        <w:t xml:space="preserve">, de </w:t>
      </w:r>
      <w:r>
        <w:t>20</w:t>
      </w:r>
      <w:r w:rsidRPr="00F627C3">
        <w:t xml:space="preserve"> de </w:t>
      </w:r>
      <w:r>
        <w:t>outubro</w:t>
      </w:r>
      <w:r w:rsidRPr="00F627C3">
        <w:t xml:space="preserve"> de 20</w:t>
      </w:r>
      <w:r>
        <w:t>21</w:t>
      </w:r>
      <w:r w:rsidRPr="00F627C3">
        <w:t>, passa a vigorar com</w:t>
      </w:r>
      <w:r w:rsidRPr="00077D39">
        <w:t xml:space="preserve"> a seguinte redação:</w:t>
      </w:r>
    </w:p>
    <w:p w14:paraId="7FAC91BF" w14:textId="3B914458" w:rsidR="00237C3B" w:rsidRPr="00237C3B" w:rsidRDefault="00237C3B" w:rsidP="005B2DB1">
      <w:pPr>
        <w:pStyle w:val="NormaAlterada"/>
      </w:pPr>
      <w:r w:rsidRPr="00237C3B">
        <w:t xml:space="preserve">“Art. </w:t>
      </w:r>
      <w:r w:rsidR="00265D9E">
        <w:t>13</w:t>
      </w:r>
      <w:r w:rsidR="00D85F44">
        <w:tab/>
      </w:r>
    </w:p>
    <w:p w14:paraId="4FDF770F" w14:textId="225C6F7C" w:rsidR="00CC435F" w:rsidRDefault="00C47D47" w:rsidP="005B2DB1">
      <w:pPr>
        <w:pStyle w:val="NormaAlterada"/>
      </w:pPr>
      <w:r w:rsidRPr="005334D1">
        <w:t>§ 1</w:t>
      </w:r>
      <w:proofErr w:type="gramStart"/>
      <w:r w:rsidRPr="005334D1">
        <w:t>º  Nos</w:t>
      </w:r>
      <w:proofErr w:type="gramEnd"/>
      <w:r w:rsidRPr="005334D1">
        <w:t xml:space="preserve"> casos de recolhimento da </w:t>
      </w:r>
      <w:r>
        <w:t>t</w:t>
      </w:r>
      <w:r w:rsidRPr="005334D1">
        <w:t xml:space="preserve">axa de </w:t>
      </w:r>
      <w:r>
        <w:t>f</w:t>
      </w:r>
      <w:r w:rsidRPr="005334D1">
        <w:t>iscalização</w:t>
      </w:r>
      <w:r>
        <w:t xml:space="preserve"> em razão da realização de oferta pública </w:t>
      </w:r>
      <w:r w:rsidRPr="009B31D3">
        <w:t>sujeita a registro</w:t>
      </w:r>
      <w:r w:rsidR="006920C5">
        <w:t xml:space="preserve"> ou dispensada desse registro</w:t>
      </w:r>
      <w:r w:rsidR="00F60F09">
        <w:t>,</w:t>
      </w:r>
      <w:r w:rsidR="00433943">
        <w:t xml:space="preserve"> </w:t>
      </w:r>
      <w:r w:rsidR="00A84B8E">
        <w:t>assim como nos casos de</w:t>
      </w:r>
      <w:r>
        <w:t xml:space="preserve"> registro de participante ou </w:t>
      </w:r>
      <w:r w:rsidR="00F118B1">
        <w:t xml:space="preserve">de </w:t>
      </w:r>
      <w:r>
        <w:t>emissão de ato autorizativo equivalente</w:t>
      </w:r>
      <w:r w:rsidRPr="005334D1">
        <w:t>, o componente organizacional responsável deve confirmar o ingresso do pagamento da taxa na conta da CVM.</w:t>
      </w:r>
    </w:p>
    <w:p w14:paraId="40DD6102" w14:textId="283D007C" w:rsidR="00C47D47" w:rsidRDefault="00CC435F" w:rsidP="005B2DB1">
      <w:pPr>
        <w:pStyle w:val="NormaAlterada"/>
      </w:pPr>
      <w:r>
        <w:tab/>
      </w:r>
      <w:r w:rsidR="002972DB">
        <w:t>” (NR)</w:t>
      </w:r>
    </w:p>
    <w:p w14:paraId="65205B09" w14:textId="076D9A10" w:rsidR="0071610C" w:rsidRPr="0071610C" w:rsidRDefault="00D007CA" w:rsidP="0071610C">
      <w:r>
        <w:t xml:space="preserve">Art. </w:t>
      </w:r>
      <w:r w:rsidR="00CA3EB3">
        <w:t>1</w:t>
      </w:r>
      <w:r w:rsidR="00551B90">
        <w:t>5</w:t>
      </w:r>
      <w:r w:rsidR="00AC769C">
        <w:t>.</w:t>
      </w:r>
      <w:r>
        <w:t xml:space="preserve">  Ficam revogados</w:t>
      </w:r>
      <w:r w:rsidR="006029E4">
        <w:t xml:space="preserve"> </w:t>
      </w:r>
      <w:r w:rsidR="009D4E4E">
        <w:t xml:space="preserve">os incisos </w:t>
      </w:r>
      <w:r w:rsidR="000E33A8">
        <w:t xml:space="preserve">VII e X </w:t>
      </w:r>
      <w:r w:rsidR="00C27BF7">
        <w:t xml:space="preserve">e o § 1º </w:t>
      </w:r>
      <w:r w:rsidR="00CC435F">
        <w:t xml:space="preserve">do art. 7º </w:t>
      </w:r>
      <w:r w:rsidR="000E33A8">
        <w:t>da Instrução CVM nº 480, de 2009</w:t>
      </w:r>
      <w:r w:rsidR="006029E4">
        <w:t>.</w:t>
      </w:r>
    </w:p>
    <w:p w14:paraId="0289B799" w14:textId="5DA8885F" w:rsidR="0039476C" w:rsidRDefault="00237C3B" w:rsidP="00237C3B">
      <w:r w:rsidRPr="00237C3B">
        <w:t xml:space="preserve">Art. </w:t>
      </w:r>
      <w:r w:rsidR="00CA3EB3">
        <w:t>1</w:t>
      </w:r>
      <w:r w:rsidR="00551B90">
        <w:t>6</w:t>
      </w:r>
      <w:r w:rsidR="00CA3EB3">
        <w:t>.</w:t>
      </w:r>
      <w:r w:rsidR="006029E4" w:rsidRPr="00237C3B">
        <w:t xml:space="preserve"> </w:t>
      </w:r>
      <w:r w:rsidR="006029E4">
        <w:t xml:space="preserve"> </w:t>
      </w:r>
      <w:r w:rsidRPr="00237C3B">
        <w:t xml:space="preserve">Esta Resolução entra em vigor em </w:t>
      </w:r>
      <w:r w:rsidR="00BA76D4">
        <w:t>3</w:t>
      </w:r>
      <w:r w:rsidR="00BA76D4" w:rsidRPr="00237C3B">
        <w:t xml:space="preserve"> </w:t>
      </w:r>
      <w:r w:rsidRPr="00237C3B">
        <w:t xml:space="preserve">de </w:t>
      </w:r>
      <w:r w:rsidR="00BA76D4">
        <w:t>janeiro</w:t>
      </w:r>
      <w:r w:rsidR="00BA76D4" w:rsidRPr="00237C3B">
        <w:t xml:space="preserve"> </w:t>
      </w:r>
      <w:r w:rsidRPr="00237C3B">
        <w:t>de 202</w:t>
      </w:r>
      <w:r w:rsidR="00487C5A">
        <w:t>2</w:t>
      </w:r>
      <w:r w:rsidRPr="00237C3B">
        <w:t>.</w:t>
      </w:r>
    </w:p>
    <w:p w14:paraId="3A884FA6" w14:textId="72D222B0" w:rsidR="00237C3B" w:rsidRPr="00E25581" w:rsidRDefault="00237C3B" w:rsidP="00237C3B">
      <w:pPr>
        <w:spacing w:before="0" w:after="0" w:line="240" w:lineRule="auto"/>
        <w:ind w:firstLine="0"/>
        <w:jc w:val="center"/>
        <w:rPr>
          <w:i/>
        </w:rPr>
      </w:pPr>
      <w:r>
        <w:rPr>
          <w:i/>
        </w:rPr>
        <w:t>Assinado eletronicamente por</w:t>
      </w:r>
    </w:p>
    <w:p w14:paraId="1A645E76" w14:textId="1554C784" w:rsidR="00237C3B" w:rsidRPr="00E25581" w:rsidRDefault="00237C3B" w:rsidP="00237C3B">
      <w:pPr>
        <w:spacing w:before="0" w:after="0" w:line="240" w:lineRule="auto"/>
        <w:ind w:firstLine="0"/>
        <w:jc w:val="center"/>
        <w:rPr>
          <w:b/>
        </w:rPr>
      </w:pPr>
      <w:r>
        <w:rPr>
          <w:b/>
        </w:rPr>
        <w:t>MARCELO BA</w:t>
      </w:r>
      <w:r w:rsidR="000A19CA">
        <w:rPr>
          <w:b/>
        </w:rPr>
        <w:t>R</w:t>
      </w:r>
      <w:r>
        <w:rPr>
          <w:b/>
        </w:rPr>
        <w:t>BOSA</w:t>
      </w:r>
    </w:p>
    <w:p w14:paraId="59EF8F3B" w14:textId="78D63781" w:rsidR="00237C3B" w:rsidRDefault="00237C3B" w:rsidP="00143B75">
      <w:pPr>
        <w:spacing w:before="0" w:after="0" w:line="240" w:lineRule="auto"/>
        <w:ind w:firstLine="0"/>
        <w:jc w:val="center"/>
      </w:pPr>
      <w:r w:rsidRPr="00E25581">
        <w:rPr>
          <w:b/>
        </w:rPr>
        <w:t>Presidente</w:t>
      </w:r>
    </w:p>
    <w:sectPr w:rsidR="00237C3B" w:rsidSect="00E25581">
      <w:headerReference w:type="default" r:id="rId11"/>
      <w:headerReference w:type="first" r:id="rId12"/>
      <w:pgSz w:w="11906" w:h="16838" w:code="9"/>
      <w:pgMar w:top="2268" w:right="56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A5635B" w14:textId="77777777" w:rsidR="007721D7" w:rsidRDefault="007721D7" w:rsidP="00ED1FB4">
      <w:r>
        <w:separator/>
      </w:r>
    </w:p>
  </w:endnote>
  <w:endnote w:type="continuationSeparator" w:id="0">
    <w:p w14:paraId="08E33ED8" w14:textId="77777777" w:rsidR="007721D7" w:rsidRDefault="007721D7" w:rsidP="00ED1FB4">
      <w:r>
        <w:continuationSeparator/>
      </w:r>
    </w:p>
  </w:endnote>
  <w:endnote w:type="continuationNotice" w:id="1">
    <w:p w14:paraId="2D02C82E" w14:textId="77777777" w:rsidR="007721D7" w:rsidRDefault="007721D7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20A7FC" w14:textId="77777777" w:rsidR="007721D7" w:rsidRDefault="007721D7" w:rsidP="00ED1FB4">
      <w:r>
        <w:separator/>
      </w:r>
    </w:p>
  </w:footnote>
  <w:footnote w:type="continuationSeparator" w:id="0">
    <w:p w14:paraId="082A9394" w14:textId="77777777" w:rsidR="007721D7" w:rsidRDefault="007721D7" w:rsidP="00ED1FB4">
      <w:r>
        <w:continuationSeparator/>
      </w:r>
    </w:p>
  </w:footnote>
  <w:footnote w:type="continuationNotice" w:id="1">
    <w:p w14:paraId="2741F989" w14:textId="77777777" w:rsidR="007721D7" w:rsidRDefault="007721D7">
      <w:pPr>
        <w:spacing w:before="0" w:after="0" w:line="240" w:lineRule="auto"/>
      </w:pPr>
    </w:p>
  </w:footnote>
  <w:footnote w:id="2">
    <w:p w14:paraId="5DCC6449" w14:textId="5B8B49D9" w:rsidR="00531CD1" w:rsidRDefault="00531CD1">
      <w:pPr>
        <w:pStyle w:val="Textodenotaderodap"/>
      </w:pPr>
      <w:r>
        <w:rPr>
          <w:rStyle w:val="Refdenotaderodap"/>
        </w:rPr>
        <w:footnoteRef/>
      </w:r>
      <w:r>
        <w:t xml:space="preserve"> Incluído para fins de ajuste de pontuação.</w:t>
      </w:r>
    </w:p>
  </w:footnote>
  <w:footnote w:id="3">
    <w:p w14:paraId="7E7A4EA2" w14:textId="2130FAB3" w:rsidR="009E20E6" w:rsidRDefault="009E20E6">
      <w:pPr>
        <w:pStyle w:val="Textodenotaderodap"/>
      </w:pPr>
      <w:r>
        <w:rPr>
          <w:rStyle w:val="Refdenotaderodap"/>
        </w:rPr>
        <w:footnoteRef/>
      </w:r>
      <w:r>
        <w:t xml:space="preserve"> Incluído para fins de ajuste de pontuação.</w:t>
      </w:r>
    </w:p>
  </w:footnote>
  <w:footnote w:id="4">
    <w:p w14:paraId="20059709" w14:textId="31A48806" w:rsidR="007949FC" w:rsidRDefault="007949FC">
      <w:pPr>
        <w:pStyle w:val="Textodenotaderodap"/>
      </w:pPr>
      <w:r>
        <w:rPr>
          <w:rStyle w:val="Refdenotaderodap"/>
        </w:rPr>
        <w:footnoteRef/>
      </w:r>
      <w:r>
        <w:t xml:space="preserve"> Incluído para fins de ajuste de pontuação.</w:t>
      </w:r>
    </w:p>
  </w:footnote>
  <w:footnote w:id="5">
    <w:p w14:paraId="619F3675" w14:textId="6119BE01" w:rsidR="007949FC" w:rsidRDefault="007949FC">
      <w:pPr>
        <w:pStyle w:val="Textodenotaderodap"/>
      </w:pPr>
      <w:r>
        <w:rPr>
          <w:rStyle w:val="Refdenotaderodap"/>
        </w:rPr>
        <w:footnoteRef/>
      </w:r>
      <w:r>
        <w:t xml:space="preserve"> Incluído para fins de ajuste de pontuação.</w:t>
      </w:r>
    </w:p>
  </w:footnote>
  <w:footnote w:id="6">
    <w:p w14:paraId="60E34726" w14:textId="3C5C0C9F" w:rsidR="00AD0E10" w:rsidRDefault="00AD0E10">
      <w:pPr>
        <w:pStyle w:val="Textodenotaderodap"/>
      </w:pPr>
      <w:r>
        <w:rPr>
          <w:rStyle w:val="Refdenotaderodap"/>
        </w:rPr>
        <w:footnoteRef/>
      </w:r>
      <w:r>
        <w:t xml:space="preserve"> Incluído para fins de ajuste de pontuação.</w:t>
      </w:r>
    </w:p>
  </w:footnote>
  <w:footnote w:id="7">
    <w:p w14:paraId="2492F8BC" w14:textId="26B10CFF" w:rsidR="00144000" w:rsidRDefault="00144000">
      <w:pPr>
        <w:pStyle w:val="Textodenotaderodap"/>
      </w:pPr>
      <w:r>
        <w:rPr>
          <w:rStyle w:val="Refdenotaderodap"/>
        </w:rPr>
        <w:footnoteRef/>
      </w:r>
      <w:r>
        <w:t xml:space="preserve"> Incluído para fins de ajuste de pontuação.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94FCE" w14:textId="77777777" w:rsidR="005D2C60" w:rsidRPr="00ED1FB4" w:rsidRDefault="005D2C60" w:rsidP="004D68A2">
    <w:pPr>
      <w:pStyle w:val="Rodap"/>
    </w:pPr>
    <w:r w:rsidRPr="00ED1FB4">
      <w:drawing>
        <wp:inline distT="0" distB="0" distL="0" distR="0" wp14:anchorId="74FA83AF" wp14:editId="499AB5F4">
          <wp:extent cx="657225" cy="628650"/>
          <wp:effectExtent l="0" t="0" r="9525" b="0"/>
          <wp:docPr id="1" name="Imagem 1" descr="planalto_presidencia_simbolosnacionais_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planalto_presidencia_simbolosnacionais_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D75F9C" w14:textId="77777777" w:rsidR="005D2C60" w:rsidRPr="004D68A2" w:rsidRDefault="005D2C60" w:rsidP="004D68A2">
    <w:pPr>
      <w:pStyle w:val="Rodap"/>
      <w:rPr>
        <w:b/>
        <w:sz w:val="24"/>
        <w:szCs w:val="24"/>
      </w:rPr>
    </w:pPr>
    <w:r w:rsidRPr="004D68A2">
      <w:rPr>
        <w:b/>
        <w:sz w:val="24"/>
        <w:szCs w:val="24"/>
      </w:rPr>
      <w:t>COMISSÃO DE VALORES MOBILIÁRIOS</w:t>
    </w:r>
  </w:p>
  <w:p w14:paraId="577BD257" w14:textId="77777777" w:rsidR="005D2C60" w:rsidRPr="00ED1FB4" w:rsidRDefault="005D2C60" w:rsidP="004D68A2">
    <w:pPr>
      <w:pStyle w:val="Rodap"/>
    </w:pPr>
    <w:r w:rsidRPr="00ED1FB4">
      <w:t>Rua Sete de Setembro, 111/2-5º e 23-34º Andares, Centro, Rio de Janeiro/RJ – CEP: 20050-901 – Brasil - Tel.: (21) 3554-8686</w:t>
    </w:r>
  </w:p>
  <w:p w14:paraId="44413862" w14:textId="77777777" w:rsidR="005D2C60" w:rsidRPr="004D68A2" w:rsidRDefault="005D2C60" w:rsidP="004D68A2">
    <w:pPr>
      <w:pStyle w:val="Rodap"/>
    </w:pPr>
    <w:r w:rsidRPr="004D68A2">
      <w:t>Rua Cincinato Braga, 340/2º, 3º e 4º Andares, Bela Vista, São Paulo/ SP – CEP: 01333-010 – Brasil - Tel.: (11) 2146-2000</w:t>
    </w:r>
  </w:p>
  <w:p w14:paraId="151CED35" w14:textId="77777777" w:rsidR="005D2C60" w:rsidRPr="00ED1FB4" w:rsidRDefault="005D2C60" w:rsidP="004D68A2">
    <w:pPr>
      <w:pStyle w:val="Rodap"/>
    </w:pPr>
    <w:r w:rsidRPr="00ED1FB4">
      <w:t>SCN Q.02 – Bl. A – Ed. Corporate Financial Center, S.404/4º Andar, Brasília/DF – CEP: 70712-900 – Brasil -Tel.: (61) 3327-2030/2031</w:t>
    </w:r>
  </w:p>
  <w:p w14:paraId="11C4C96C" w14:textId="77777777" w:rsidR="005D2C60" w:rsidRDefault="004419CD" w:rsidP="00E25581">
    <w:pPr>
      <w:pStyle w:val="Rodap"/>
      <w:spacing w:after="240"/>
    </w:pPr>
    <w:hyperlink r:id="rId2" w:history="1">
      <w:r w:rsidR="005D2C60" w:rsidRPr="00ED1FB4">
        <w:rPr>
          <w:rStyle w:val="Hyperlink"/>
        </w:rPr>
        <w:t>www.cvm.gov.br</w:t>
      </w:r>
    </w:hyperlink>
  </w:p>
  <w:p w14:paraId="456FEC6E" w14:textId="545E5BAA" w:rsidR="00E25581" w:rsidRPr="009B69B0" w:rsidRDefault="00E25581" w:rsidP="00E25581">
    <w:pPr>
      <w:pStyle w:val="Rodap"/>
      <w:spacing w:after="240"/>
      <w:jc w:val="both"/>
      <w:rPr>
        <w:caps/>
      </w:rPr>
    </w:pPr>
    <w:r w:rsidRPr="009B69B0">
      <w:rPr>
        <w:caps/>
      </w:rPr>
      <w:t xml:space="preserve">RESOLUÇÃO CVM Nº </w:t>
    </w:r>
    <w:sdt>
      <w:sdtPr>
        <w:rPr>
          <w:caps/>
        </w:rPr>
        <w:alias w:val="Título"/>
        <w:tag w:val=""/>
        <w:id w:val="1007090907"/>
        <w:placeholder>
          <w:docPart w:val="6FA6982FEDAB4CDBA94F8DB2634FAD6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27BF7">
          <w:rPr>
            <w:caps/>
          </w:rPr>
          <w:t>61, de 27 de DEZEMBRO de 2021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0E7E3" w14:textId="77777777" w:rsidR="009B69B0" w:rsidRPr="00ED1FB4" w:rsidRDefault="009B69B0" w:rsidP="009B69B0">
    <w:pPr>
      <w:pStyle w:val="Rodap"/>
    </w:pPr>
    <w:r w:rsidRPr="00ED1FB4">
      <w:drawing>
        <wp:inline distT="0" distB="0" distL="0" distR="0" wp14:anchorId="4F432256" wp14:editId="5D892F22">
          <wp:extent cx="657225" cy="628650"/>
          <wp:effectExtent l="0" t="0" r="9525" b="0"/>
          <wp:docPr id="2" name="Imagem 2" descr="planalto_presidencia_simbolosnacionais_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planalto_presidencia_simbolosnacionais_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2CAEED" w14:textId="77777777" w:rsidR="009B69B0" w:rsidRPr="004D68A2" w:rsidRDefault="009B69B0" w:rsidP="009B69B0">
    <w:pPr>
      <w:pStyle w:val="Rodap"/>
      <w:rPr>
        <w:b/>
        <w:sz w:val="24"/>
        <w:szCs w:val="24"/>
      </w:rPr>
    </w:pPr>
    <w:r w:rsidRPr="004D68A2">
      <w:rPr>
        <w:b/>
        <w:sz w:val="24"/>
        <w:szCs w:val="24"/>
      </w:rPr>
      <w:t>COMISSÃO DE VALORES MOBILIÁRIOS</w:t>
    </w:r>
  </w:p>
  <w:p w14:paraId="5A3FB487" w14:textId="77777777" w:rsidR="009B69B0" w:rsidRPr="00ED1FB4" w:rsidRDefault="009B69B0" w:rsidP="009B69B0">
    <w:pPr>
      <w:pStyle w:val="Rodap"/>
    </w:pPr>
    <w:r w:rsidRPr="00ED1FB4">
      <w:t>Rua Sete de Setembro, 111/2-5º e 23-34º Andares, Centro, Rio de Janeiro/RJ – CEP: 20050-901 – Brasil - Tel.: (21) 3554-8686</w:t>
    </w:r>
  </w:p>
  <w:p w14:paraId="58FD97C0" w14:textId="77777777" w:rsidR="009B69B0" w:rsidRPr="004D68A2" w:rsidRDefault="009B69B0" w:rsidP="009B69B0">
    <w:pPr>
      <w:pStyle w:val="Rodap"/>
    </w:pPr>
    <w:r w:rsidRPr="004D68A2">
      <w:t>Rua Cincinato Braga, 340/2º, 3º e 4º Andares, Bela Vista, São Paulo/ SP – CEP: 01333-010 – Brasil - Tel.: (11) 2146-2000</w:t>
    </w:r>
  </w:p>
  <w:p w14:paraId="13B3927F" w14:textId="77777777" w:rsidR="009B69B0" w:rsidRPr="00ED1FB4" w:rsidRDefault="009B69B0" w:rsidP="009B69B0">
    <w:pPr>
      <w:pStyle w:val="Rodap"/>
    </w:pPr>
    <w:r w:rsidRPr="00ED1FB4">
      <w:t>SCN Q.02 – Bl. A – Ed. Corporate Financial Center, S.404/4º Andar, Brasília/DF – CEP: 70712-900 – Brasil -Tel.: (61) 3327-2030/2031</w:t>
    </w:r>
  </w:p>
  <w:p w14:paraId="6B07BB45" w14:textId="77777777" w:rsidR="009B69B0" w:rsidRDefault="004419CD" w:rsidP="009B69B0">
    <w:pPr>
      <w:pStyle w:val="Rodap"/>
      <w:spacing w:after="240"/>
    </w:pPr>
    <w:hyperlink r:id="rId2" w:history="1">
      <w:r w:rsidR="009B69B0" w:rsidRPr="00ED1FB4">
        <w:rPr>
          <w:rStyle w:val="Hyperlink"/>
        </w:rPr>
        <w:t>www.cvm.gov.br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F19C9A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25AC89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C9880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2977FC"/>
    <w:multiLevelType w:val="hybridMultilevel"/>
    <w:tmpl w:val="66D2DBAC"/>
    <w:lvl w:ilvl="0" w:tplc="F6D4B46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trike w:val="0"/>
      </w:rPr>
    </w:lvl>
    <w:lvl w:ilvl="1" w:tplc="0416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F1B4AAA"/>
    <w:multiLevelType w:val="hybridMultilevel"/>
    <w:tmpl w:val="CE72823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E600D49"/>
    <w:multiLevelType w:val="hybridMultilevel"/>
    <w:tmpl w:val="0F547D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6C260F"/>
    <w:multiLevelType w:val="multilevel"/>
    <w:tmpl w:val="E1FE61FE"/>
    <w:lvl w:ilvl="0">
      <w:start w:val="1"/>
      <w:numFmt w:val="decimal"/>
      <w:pStyle w:val="TtulosNumerados"/>
      <w:lvlText w:val="%1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9"/>
        </w:tabs>
        <w:ind w:left="0" w:firstLine="0"/>
      </w:pPr>
      <w:rPr>
        <w:rFonts w:hint="default"/>
      </w:r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C3B"/>
    <w:rsid w:val="000032F4"/>
    <w:rsid w:val="00005829"/>
    <w:rsid w:val="00020F11"/>
    <w:rsid w:val="0002589F"/>
    <w:rsid w:val="00032160"/>
    <w:rsid w:val="00033E30"/>
    <w:rsid w:val="000355CB"/>
    <w:rsid w:val="00045084"/>
    <w:rsid w:val="00051BDD"/>
    <w:rsid w:val="0005323E"/>
    <w:rsid w:val="0005520D"/>
    <w:rsid w:val="00056366"/>
    <w:rsid w:val="000574AF"/>
    <w:rsid w:val="00065A6D"/>
    <w:rsid w:val="00077D39"/>
    <w:rsid w:val="00082BE8"/>
    <w:rsid w:val="00087D47"/>
    <w:rsid w:val="000A19CA"/>
    <w:rsid w:val="000A601D"/>
    <w:rsid w:val="000B18FB"/>
    <w:rsid w:val="000B4B2D"/>
    <w:rsid w:val="000D3D4C"/>
    <w:rsid w:val="000E1901"/>
    <w:rsid w:val="000E1A12"/>
    <w:rsid w:val="000E33A8"/>
    <w:rsid w:val="000F7342"/>
    <w:rsid w:val="00123468"/>
    <w:rsid w:val="00123503"/>
    <w:rsid w:val="00130EAB"/>
    <w:rsid w:val="00143B75"/>
    <w:rsid w:val="00144000"/>
    <w:rsid w:val="001464D4"/>
    <w:rsid w:val="001628B9"/>
    <w:rsid w:val="00176B85"/>
    <w:rsid w:val="00177C2A"/>
    <w:rsid w:val="00181400"/>
    <w:rsid w:val="001B4909"/>
    <w:rsid w:val="001B7904"/>
    <w:rsid w:val="001B7BF8"/>
    <w:rsid w:val="001E0034"/>
    <w:rsid w:val="001E0083"/>
    <w:rsid w:val="001E4CFE"/>
    <w:rsid w:val="001F1047"/>
    <w:rsid w:val="001F18B1"/>
    <w:rsid w:val="001F5B91"/>
    <w:rsid w:val="0020003A"/>
    <w:rsid w:val="00213D8E"/>
    <w:rsid w:val="00214F34"/>
    <w:rsid w:val="0021583A"/>
    <w:rsid w:val="0021616B"/>
    <w:rsid w:val="00223619"/>
    <w:rsid w:val="0023230E"/>
    <w:rsid w:val="00233622"/>
    <w:rsid w:val="002362FE"/>
    <w:rsid w:val="00237C3B"/>
    <w:rsid w:val="00240143"/>
    <w:rsid w:val="00241964"/>
    <w:rsid w:val="00243FB2"/>
    <w:rsid w:val="00245C82"/>
    <w:rsid w:val="0024614E"/>
    <w:rsid w:val="002513D6"/>
    <w:rsid w:val="00256816"/>
    <w:rsid w:val="00263ACF"/>
    <w:rsid w:val="00265D9E"/>
    <w:rsid w:val="00266BA2"/>
    <w:rsid w:val="00266BA4"/>
    <w:rsid w:val="00271FD6"/>
    <w:rsid w:val="00276335"/>
    <w:rsid w:val="00284CD9"/>
    <w:rsid w:val="002972DB"/>
    <w:rsid w:val="002A456D"/>
    <w:rsid w:val="002A46BE"/>
    <w:rsid w:val="002A7EBC"/>
    <w:rsid w:val="002B3B02"/>
    <w:rsid w:val="002B5784"/>
    <w:rsid w:val="002B73DD"/>
    <w:rsid w:val="002C2E6D"/>
    <w:rsid w:val="002D34A2"/>
    <w:rsid w:val="002D3AB7"/>
    <w:rsid w:val="002D3EC1"/>
    <w:rsid w:val="002E26DA"/>
    <w:rsid w:val="002E2CFA"/>
    <w:rsid w:val="002E7203"/>
    <w:rsid w:val="002F1D96"/>
    <w:rsid w:val="00300923"/>
    <w:rsid w:val="00304417"/>
    <w:rsid w:val="00307212"/>
    <w:rsid w:val="00310CBF"/>
    <w:rsid w:val="00315D6D"/>
    <w:rsid w:val="0032414A"/>
    <w:rsid w:val="00332658"/>
    <w:rsid w:val="00334BDE"/>
    <w:rsid w:val="003410D9"/>
    <w:rsid w:val="003564F5"/>
    <w:rsid w:val="003719D8"/>
    <w:rsid w:val="00386B51"/>
    <w:rsid w:val="0039476C"/>
    <w:rsid w:val="003955A0"/>
    <w:rsid w:val="003B1A54"/>
    <w:rsid w:val="003C58A1"/>
    <w:rsid w:val="003C6133"/>
    <w:rsid w:val="003D3B5E"/>
    <w:rsid w:val="003D4A0F"/>
    <w:rsid w:val="003E0B65"/>
    <w:rsid w:val="003F1141"/>
    <w:rsid w:val="003F6609"/>
    <w:rsid w:val="004148F7"/>
    <w:rsid w:val="0041797C"/>
    <w:rsid w:val="004273F5"/>
    <w:rsid w:val="00433943"/>
    <w:rsid w:val="004419CD"/>
    <w:rsid w:val="0045003B"/>
    <w:rsid w:val="0045086A"/>
    <w:rsid w:val="0045289D"/>
    <w:rsid w:val="00457D9B"/>
    <w:rsid w:val="004744F2"/>
    <w:rsid w:val="00480F72"/>
    <w:rsid w:val="00483F36"/>
    <w:rsid w:val="0048465D"/>
    <w:rsid w:val="00485E5A"/>
    <w:rsid w:val="00487C5A"/>
    <w:rsid w:val="004963A0"/>
    <w:rsid w:val="004A4DC0"/>
    <w:rsid w:val="004A5763"/>
    <w:rsid w:val="004B53A7"/>
    <w:rsid w:val="004C1035"/>
    <w:rsid w:val="004C2486"/>
    <w:rsid w:val="004C55E5"/>
    <w:rsid w:val="004D0B03"/>
    <w:rsid w:val="004D68A2"/>
    <w:rsid w:val="004E38B5"/>
    <w:rsid w:val="004E465F"/>
    <w:rsid w:val="004E5E1E"/>
    <w:rsid w:val="004E629C"/>
    <w:rsid w:val="004F2641"/>
    <w:rsid w:val="004F5152"/>
    <w:rsid w:val="00500BE6"/>
    <w:rsid w:val="00507ACC"/>
    <w:rsid w:val="005237E5"/>
    <w:rsid w:val="00523F8C"/>
    <w:rsid w:val="00531CD1"/>
    <w:rsid w:val="00531D43"/>
    <w:rsid w:val="005328EA"/>
    <w:rsid w:val="00534C95"/>
    <w:rsid w:val="00547A76"/>
    <w:rsid w:val="00551B90"/>
    <w:rsid w:val="00555D02"/>
    <w:rsid w:val="00560684"/>
    <w:rsid w:val="00572002"/>
    <w:rsid w:val="00580664"/>
    <w:rsid w:val="0059224A"/>
    <w:rsid w:val="00592E89"/>
    <w:rsid w:val="005A5D02"/>
    <w:rsid w:val="005B1861"/>
    <w:rsid w:val="005B2DB1"/>
    <w:rsid w:val="005C0C17"/>
    <w:rsid w:val="005C12BE"/>
    <w:rsid w:val="005C7B13"/>
    <w:rsid w:val="005D2C60"/>
    <w:rsid w:val="005D2FEA"/>
    <w:rsid w:val="005E690A"/>
    <w:rsid w:val="005E6C00"/>
    <w:rsid w:val="005E7C01"/>
    <w:rsid w:val="005F79A6"/>
    <w:rsid w:val="006029E4"/>
    <w:rsid w:val="00614570"/>
    <w:rsid w:val="006169B7"/>
    <w:rsid w:val="006270DF"/>
    <w:rsid w:val="006434D5"/>
    <w:rsid w:val="0065401B"/>
    <w:rsid w:val="0065602B"/>
    <w:rsid w:val="00657373"/>
    <w:rsid w:val="00657B55"/>
    <w:rsid w:val="00670737"/>
    <w:rsid w:val="00672402"/>
    <w:rsid w:val="006725AC"/>
    <w:rsid w:val="00674CAE"/>
    <w:rsid w:val="00675797"/>
    <w:rsid w:val="00686AC9"/>
    <w:rsid w:val="006920C5"/>
    <w:rsid w:val="00693E60"/>
    <w:rsid w:val="0069664E"/>
    <w:rsid w:val="006968D8"/>
    <w:rsid w:val="006A2263"/>
    <w:rsid w:val="006B400D"/>
    <w:rsid w:val="006C4F93"/>
    <w:rsid w:val="006D506D"/>
    <w:rsid w:val="006D5992"/>
    <w:rsid w:val="006D69F7"/>
    <w:rsid w:val="006E1563"/>
    <w:rsid w:val="006E1797"/>
    <w:rsid w:val="006E2484"/>
    <w:rsid w:val="006E3FE2"/>
    <w:rsid w:val="006F25C0"/>
    <w:rsid w:val="006F2E08"/>
    <w:rsid w:val="006F5695"/>
    <w:rsid w:val="007013D8"/>
    <w:rsid w:val="00710D1F"/>
    <w:rsid w:val="0071610C"/>
    <w:rsid w:val="007167A7"/>
    <w:rsid w:val="00723AAB"/>
    <w:rsid w:val="00725366"/>
    <w:rsid w:val="00727062"/>
    <w:rsid w:val="007302B9"/>
    <w:rsid w:val="0073141D"/>
    <w:rsid w:val="007315CA"/>
    <w:rsid w:val="00735123"/>
    <w:rsid w:val="00745EDE"/>
    <w:rsid w:val="00747BD6"/>
    <w:rsid w:val="00750B2A"/>
    <w:rsid w:val="00754FEA"/>
    <w:rsid w:val="00760BFA"/>
    <w:rsid w:val="00761978"/>
    <w:rsid w:val="00762DB5"/>
    <w:rsid w:val="00763A88"/>
    <w:rsid w:val="00764468"/>
    <w:rsid w:val="00765A2E"/>
    <w:rsid w:val="007717A3"/>
    <w:rsid w:val="007721D7"/>
    <w:rsid w:val="00774C28"/>
    <w:rsid w:val="007828F6"/>
    <w:rsid w:val="00790683"/>
    <w:rsid w:val="00790C89"/>
    <w:rsid w:val="00792356"/>
    <w:rsid w:val="007949FC"/>
    <w:rsid w:val="007B6612"/>
    <w:rsid w:val="007D3BA8"/>
    <w:rsid w:val="007F4294"/>
    <w:rsid w:val="0080153B"/>
    <w:rsid w:val="008018A0"/>
    <w:rsid w:val="008033D8"/>
    <w:rsid w:val="00803584"/>
    <w:rsid w:val="00805410"/>
    <w:rsid w:val="0081067E"/>
    <w:rsid w:val="00814816"/>
    <w:rsid w:val="00823D59"/>
    <w:rsid w:val="008277AC"/>
    <w:rsid w:val="00827859"/>
    <w:rsid w:val="00832037"/>
    <w:rsid w:val="008340D7"/>
    <w:rsid w:val="00841BBF"/>
    <w:rsid w:val="00844D55"/>
    <w:rsid w:val="008507E7"/>
    <w:rsid w:val="008533A4"/>
    <w:rsid w:val="008549A8"/>
    <w:rsid w:val="00854F49"/>
    <w:rsid w:val="00857668"/>
    <w:rsid w:val="00870D50"/>
    <w:rsid w:val="00871741"/>
    <w:rsid w:val="00874118"/>
    <w:rsid w:val="00877D37"/>
    <w:rsid w:val="00880AB3"/>
    <w:rsid w:val="00882DFB"/>
    <w:rsid w:val="00886973"/>
    <w:rsid w:val="00887626"/>
    <w:rsid w:val="00894689"/>
    <w:rsid w:val="008A2A02"/>
    <w:rsid w:val="008A3CAA"/>
    <w:rsid w:val="008A3F39"/>
    <w:rsid w:val="008A7185"/>
    <w:rsid w:val="008B1164"/>
    <w:rsid w:val="008C6DE3"/>
    <w:rsid w:val="009010FE"/>
    <w:rsid w:val="0090296A"/>
    <w:rsid w:val="00905572"/>
    <w:rsid w:val="00916A1E"/>
    <w:rsid w:val="00920912"/>
    <w:rsid w:val="00934B6D"/>
    <w:rsid w:val="00934D9C"/>
    <w:rsid w:val="0093620C"/>
    <w:rsid w:val="00940738"/>
    <w:rsid w:val="0094459D"/>
    <w:rsid w:val="00946568"/>
    <w:rsid w:val="0094677B"/>
    <w:rsid w:val="00946F55"/>
    <w:rsid w:val="009513C9"/>
    <w:rsid w:val="00951FFF"/>
    <w:rsid w:val="00956E3B"/>
    <w:rsid w:val="0095782B"/>
    <w:rsid w:val="009641A4"/>
    <w:rsid w:val="009645C2"/>
    <w:rsid w:val="0097528D"/>
    <w:rsid w:val="009768AB"/>
    <w:rsid w:val="00980C24"/>
    <w:rsid w:val="00986BF1"/>
    <w:rsid w:val="00990B1B"/>
    <w:rsid w:val="00997CF1"/>
    <w:rsid w:val="009B3C5C"/>
    <w:rsid w:val="009B69B0"/>
    <w:rsid w:val="009C2298"/>
    <w:rsid w:val="009C4E52"/>
    <w:rsid w:val="009D3B73"/>
    <w:rsid w:val="009D3E83"/>
    <w:rsid w:val="009D4E4E"/>
    <w:rsid w:val="009E20E6"/>
    <w:rsid w:val="009E621A"/>
    <w:rsid w:val="009F0838"/>
    <w:rsid w:val="00A176DA"/>
    <w:rsid w:val="00A20B8E"/>
    <w:rsid w:val="00A21BC7"/>
    <w:rsid w:val="00A30E40"/>
    <w:rsid w:val="00A40C24"/>
    <w:rsid w:val="00A43036"/>
    <w:rsid w:val="00A52999"/>
    <w:rsid w:val="00A57763"/>
    <w:rsid w:val="00A60EDE"/>
    <w:rsid w:val="00A60F31"/>
    <w:rsid w:val="00A64993"/>
    <w:rsid w:val="00A77823"/>
    <w:rsid w:val="00A84B8E"/>
    <w:rsid w:val="00AA0058"/>
    <w:rsid w:val="00AA0D43"/>
    <w:rsid w:val="00AC40E6"/>
    <w:rsid w:val="00AC720D"/>
    <w:rsid w:val="00AC769C"/>
    <w:rsid w:val="00AC7B16"/>
    <w:rsid w:val="00AC7E32"/>
    <w:rsid w:val="00AD0860"/>
    <w:rsid w:val="00AD0E10"/>
    <w:rsid w:val="00AE099C"/>
    <w:rsid w:val="00AF1176"/>
    <w:rsid w:val="00AF733C"/>
    <w:rsid w:val="00B03388"/>
    <w:rsid w:val="00B06FDF"/>
    <w:rsid w:val="00B17E2D"/>
    <w:rsid w:val="00B35CFD"/>
    <w:rsid w:val="00B3690D"/>
    <w:rsid w:val="00B378CA"/>
    <w:rsid w:val="00B41D83"/>
    <w:rsid w:val="00B53897"/>
    <w:rsid w:val="00B61040"/>
    <w:rsid w:val="00B614B5"/>
    <w:rsid w:val="00B62A42"/>
    <w:rsid w:val="00B77540"/>
    <w:rsid w:val="00B776F4"/>
    <w:rsid w:val="00B80386"/>
    <w:rsid w:val="00B82D53"/>
    <w:rsid w:val="00B854C8"/>
    <w:rsid w:val="00B91EDC"/>
    <w:rsid w:val="00B975FA"/>
    <w:rsid w:val="00BA130B"/>
    <w:rsid w:val="00BA54FC"/>
    <w:rsid w:val="00BA76D4"/>
    <w:rsid w:val="00BB755E"/>
    <w:rsid w:val="00BC6747"/>
    <w:rsid w:val="00BD4F80"/>
    <w:rsid w:val="00BD6B93"/>
    <w:rsid w:val="00BF78EF"/>
    <w:rsid w:val="00C00ECB"/>
    <w:rsid w:val="00C05882"/>
    <w:rsid w:val="00C1691E"/>
    <w:rsid w:val="00C24B4C"/>
    <w:rsid w:val="00C27BF7"/>
    <w:rsid w:val="00C3231A"/>
    <w:rsid w:val="00C42EDE"/>
    <w:rsid w:val="00C47D47"/>
    <w:rsid w:val="00C51EE9"/>
    <w:rsid w:val="00C5222F"/>
    <w:rsid w:val="00C53438"/>
    <w:rsid w:val="00C554B4"/>
    <w:rsid w:val="00C64F7A"/>
    <w:rsid w:val="00C80C99"/>
    <w:rsid w:val="00C82C89"/>
    <w:rsid w:val="00C83B2C"/>
    <w:rsid w:val="00C924F3"/>
    <w:rsid w:val="00CA1C27"/>
    <w:rsid w:val="00CA3EB3"/>
    <w:rsid w:val="00CC25DB"/>
    <w:rsid w:val="00CC3E7E"/>
    <w:rsid w:val="00CC435F"/>
    <w:rsid w:val="00CC6B71"/>
    <w:rsid w:val="00CD4940"/>
    <w:rsid w:val="00CD5867"/>
    <w:rsid w:val="00CE0AD1"/>
    <w:rsid w:val="00CE26FD"/>
    <w:rsid w:val="00CE45AC"/>
    <w:rsid w:val="00CF0BAD"/>
    <w:rsid w:val="00D007CA"/>
    <w:rsid w:val="00D013CB"/>
    <w:rsid w:val="00D10AF6"/>
    <w:rsid w:val="00D17933"/>
    <w:rsid w:val="00D21117"/>
    <w:rsid w:val="00D26D90"/>
    <w:rsid w:val="00D34E85"/>
    <w:rsid w:val="00D35A4F"/>
    <w:rsid w:val="00D448DD"/>
    <w:rsid w:val="00D5428B"/>
    <w:rsid w:val="00D56839"/>
    <w:rsid w:val="00D6279F"/>
    <w:rsid w:val="00D836EA"/>
    <w:rsid w:val="00D85F44"/>
    <w:rsid w:val="00D8633E"/>
    <w:rsid w:val="00DB50F9"/>
    <w:rsid w:val="00DB7775"/>
    <w:rsid w:val="00DD14F6"/>
    <w:rsid w:val="00DD4FFB"/>
    <w:rsid w:val="00DF36B5"/>
    <w:rsid w:val="00E06FC0"/>
    <w:rsid w:val="00E136DD"/>
    <w:rsid w:val="00E16917"/>
    <w:rsid w:val="00E20DC5"/>
    <w:rsid w:val="00E227DA"/>
    <w:rsid w:val="00E25581"/>
    <w:rsid w:val="00E35D5B"/>
    <w:rsid w:val="00E43E44"/>
    <w:rsid w:val="00E456DE"/>
    <w:rsid w:val="00E52FD1"/>
    <w:rsid w:val="00E54637"/>
    <w:rsid w:val="00E553F2"/>
    <w:rsid w:val="00E6110A"/>
    <w:rsid w:val="00E66A39"/>
    <w:rsid w:val="00E722F3"/>
    <w:rsid w:val="00E94AA5"/>
    <w:rsid w:val="00EA436F"/>
    <w:rsid w:val="00EA773F"/>
    <w:rsid w:val="00EC0CB4"/>
    <w:rsid w:val="00EC703D"/>
    <w:rsid w:val="00ED1FB4"/>
    <w:rsid w:val="00ED37AB"/>
    <w:rsid w:val="00ED4CB4"/>
    <w:rsid w:val="00EF03FF"/>
    <w:rsid w:val="00EF44DE"/>
    <w:rsid w:val="00F118B1"/>
    <w:rsid w:val="00F13813"/>
    <w:rsid w:val="00F17A35"/>
    <w:rsid w:val="00F2067D"/>
    <w:rsid w:val="00F272C7"/>
    <w:rsid w:val="00F2738A"/>
    <w:rsid w:val="00F35BA7"/>
    <w:rsid w:val="00F43CF2"/>
    <w:rsid w:val="00F45CB6"/>
    <w:rsid w:val="00F460E8"/>
    <w:rsid w:val="00F60F09"/>
    <w:rsid w:val="00F627C3"/>
    <w:rsid w:val="00F6425E"/>
    <w:rsid w:val="00F86669"/>
    <w:rsid w:val="00F91C46"/>
    <w:rsid w:val="00FA0BB9"/>
    <w:rsid w:val="00FA29E1"/>
    <w:rsid w:val="00FA57CE"/>
    <w:rsid w:val="00FB25BB"/>
    <w:rsid w:val="00FB7165"/>
    <w:rsid w:val="00FC5E99"/>
    <w:rsid w:val="00FD1EDF"/>
    <w:rsid w:val="00FE3F03"/>
    <w:rsid w:val="00FE536D"/>
    <w:rsid w:val="00FE7BA1"/>
    <w:rsid w:val="00FF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77F443"/>
  <w15:docId w15:val="{B8FE6C4D-059A-4E13-9A85-5EEDF5F7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FB4"/>
    <w:pPr>
      <w:spacing w:before="120" w:after="120" w:line="312" w:lineRule="auto"/>
      <w:ind w:firstLine="567"/>
      <w:jc w:val="both"/>
    </w:pPr>
    <w:rPr>
      <w:rFonts w:cstheme="minorHAnsi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rsid w:val="00BC67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sNumerados">
    <w:name w:val="Títulos Numerados"/>
    <w:basedOn w:val="Ttulo1"/>
    <w:link w:val="TtulosNumeradosChar"/>
    <w:rsid w:val="00BC6747"/>
    <w:pPr>
      <w:numPr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before="240" w:after="240"/>
      <w:jc w:val="left"/>
    </w:pPr>
    <w:rPr>
      <w:rFonts w:ascii="Times New Roman" w:hAnsi="Times New Roman" w:cs="Times New Roman"/>
      <w:bCs w:val="0"/>
      <w:color w:val="000000"/>
      <w:sz w:val="24"/>
      <w:szCs w:val="24"/>
      <w:u w:color="000000"/>
      <w:bdr w:val="nil"/>
      <w:lang w:val="pt-PT" w:eastAsia="pt-BR"/>
    </w:rPr>
  </w:style>
  <w:style w:type="character" w:customStyle="1" w:styleId="TtulosNumeradosChar">
    <w:name w:val="Títulos Numerados Char"/>
    <w:basedOn w:val="Ttulo1Char"/>
    <w:link w:val="TtulosNumerados"/>
    <w:rsid w:val="00BC6747"/>
    <w:rPr>
      <w:rFonts w:ascii="Times New Roman" w:eastAsiaTheme="majorEastAsia" w:hAnsi="Times New Roman" w:cs="Times New Roman"/>
      <w:b/>
      <w:bCs w:val="0"/>
      <w:color w:val="000000"/>
      <w:sz w:val="24"/>
      <w:szCs w:val="24"/>
      <w:u w:color="000000"/>
      <w:bdr w:val="nil"/>
      <w:lang w:val="pt-PT" w:eastAsia="pt-BR"/>
    </w:rPr>
  </w:style>
  <w:style w:type="character" w:customStyle="1" w:styleId="Ttulo1Char">
    <w:name w:val="Título 1 Char"/>
    <w:basedOn w:val="Fontepargpadro"/>
    <w:link w:val="Ttulo1"/>
    <w:uiPriority w:val="9"/>
    <w:rsid w:val="00BC67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odap">
    <w:name w:val="footer"/>
    <w:basedOn w:val="Cabealho"/>
    <w:link w:val="RodapChar"/>
    <w:uiPriority w:val="99"/>
    <w:unhideWhenUsed/>
    <w:rsid w:val="004D68A2"/>
    <w:pPr>
      <w:ind w:firstLine="142"/>
      <w:jc w:val="center"/>
    </w:pPr>
    <w:rPr>
      <w:noProof/>
      <w:sz w:val="18"/>
      <w:szCs w:val="18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4D68A2"/>
    <w:rPr>
      <w:rFonts w:cstheme="minorHAnsi"/>
      <w:noProof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D2C60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2C60"/>
    <w:rPr>
      <w:rFonts w:ascii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2C6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2C6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5D2C60"/>
    <w:rPr>
      <w:color w:val="0000FF"/>
      <w:u w:val="single"/>
    </w:rPr>
  </w:style>
  <w:style w:type="paragraph" w:customStyle="1" w:styleId="TtulodaResoluo">
    <w:name w:val="Título da Resolução"/>
    <w:basedOn w:val="Normal"/>
    <w:next w:val="Normal"/>
    <w:qFormat/>
    <w:rsid w:val="00C1691E"/>
    <w:pPr>
      <w:keepNext/>
      <w:jc w:val="center"/>
      <w:outlineLvl w:val="0"/>
    </w:pPr>
    <w:rPr>
      <w:caps/>
    </w:rPr>
  </w:style>
  <w:style w:type="paragraph" w:customStyle="1" w:styleId="Ementa">
    <w:name w:val="Ementa"/>
    <w:basedOn w:val="Normal"/>
    <w:next w:val="Normal"/>
    <w:qFormat/>
    <w:rsid w:val="00C82C89"/>
    <w:pPr>
      <w:ind w:left="5103" w:firstLine="0"/>
    </w:pPr>
  </w:style>
  <w:style w:type="paragraph" w:customStyle="1" w:styleId="Captulo">
    <w:name w:val="Capítulo"/>
    <w:basedOn w:val="Normal"/>
    <w:next w:val="Normal"/>
    <w:qFormat/>
    <w:rsid w:val="00C1691E"/>
    <w:pPr>
      <w:keepNext/>
      <w:spacing w:before="360"/>
      <w:jc w:val="center"/>
      <w:outlineLvl w:val="1"/>
    </w:pPr>
    <w:rPr>
      <w:caps/>
    </w:rPr>
  </w:style>
  <w:style w:type="paragraph" w:customStyle="1" w:styleId="NormaAlterada">
    <w:name w:val="Norma Alterada"/>
    <w:basedOn w:val="Normal"/>
    <w:qFormat/>
    <w:rsid w:val="00C3231A"/>
    <w:pPr>
      <w:tabs>
        <w:tab w:val="left" w:leader="dot" w:pos="5103"/>
      </w:tabs>
      <w:ind w:left="567" w:firstLine="0"/>
    </w:pPr>
  </w:style>
  <w:style w:type="paragraph" w:customStyle="1" w:styleId="Seo">
    <w:name w:val="Seção"/>
    <w:basedOn w:val="Normal"/>
    <w:next w:val="Normal"/>
    <w:qFormat/>
    <w:rsid w:val="00C1691E"/>
    <w:pPr>
      <w:keepNext/>
      <w:jc w:val="center"/>
      <w:outlineLvl w:val="2"/>
    </w:pPr>
    <w:rPr>
      <w:b/>
    </w:rPr>
  </w:style>
  <w:style w:type="character" w:styleId="TextodoEspaoReservado">
    <w:name w:val="Placeholder Text"/>
    <w:basedOn w:val="Fontepargpadro"/>
    <w:uiPriority w:val="99"/>
    <w:semiHidden/>
    <w:rsid w:val="009B69B0"/>
    <w:rPr>
      <w:color w:val="80808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1067E"/>
    <w:pPr>
      <w:spacing w:before="0"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1067E"/>
    <w:rPr>
      <w:rFonts w:cstheme="minorHAnsi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1067E"/>
    <w:rPr>
      <w:vertAlign w:val="superscript"/>
    </w:rPr>
  </w:style>
  <w:style w:type="paragraph" w:styleId="PargrafodaLista">
    <w:name w:val="List Paragraph"/>
    <w:basedOn w:val="Normal"/>
    <w:uiPriority w:val="34"/>
    <w:rsid w:val="00D013CB"/>
    <w:pPr>
      <w:ind w:left="720"/>
      <w:contextualSpacing/>
    </w:pPr>
  </w:style>
  <w:style w:type="paragraph" w:styleId="Reviso">
    <w:name w:val="Revision"/>
    <w:hidden/>
    <w:uiPriority w:val="99"/>
    <w:semiHidden/>
    <w:rsid w:val="002B3B02"/>
    <w:pPr>
      <w:spacing w:after="0" w:line="240" w:lineRule="auto"/>
    </w:pPr>
    <w:rPr>
      <w:rFonts w:cs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4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vm.gov.br/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vm.gov.br/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thur\OneDrive%20-%20cvm.gov.br\%5bSDM%5d\%5bAGENDA%20REGULAT&#211;RIA%202021%5d\Prazo%20para%20devolver%20pedido%20de%20vista%20%5bRes.%2045%20e%2046%5d\Resolu&#231;&#227;o%20alteradora%2045%20e%2046_23-11-202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BF8CDF87CA34DFA85791E06DC3B04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F9853E-01DD-4CC8-9411-AA6EED8D2A92}"/>
      </w:docPartPr>
      <w:docPartBody>
        <w:p w:rsidR="00AF244F" w:rsidRDefault="00674836">
          <w:pPr>
            <w:pStyle w:val="DBF8CDF87CA34DFA85791E06DC3B0427"/>
          </w:pPr>
          <w:r w:rsidRPr="005311FB">
            <w:rPr>
              <w:rStyle w:val="TextodoEspaoReservado"/>
            </w:rPr>
            <w:t>[Título]</w:t>
          </w:r>
        </w:p>
      </w:docPartBody>
    </w:docPart>
    <w:docPart>
      <w:docPartPr>
        <w:name w:val="6FA6982FEDAB4CDBA94F8DB2634FAD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9A00DC-3139-481A-AB85-292C392740C8}"/>
      </w:docPartPr>
      <w:docPartBody>
        <w:p w:rsidR="00AF244F" w:rsidRDefault="00674836">
          <w:pPr>
            <w:pStyle w:val="6FA6982FEDAB4CDBA94F8DB2634FAD65"/>
          </w:pPr>
          <w:r w:rsidRPr="005311FB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836"/>
    <w:rsid w:val="0018231C"/>
    <w:rsid w:val="0022129E"/>
    <w:rsid w:val="002C476D"/>
    <w:rsid w:val="0056148F"/>
    <w:rsid w:val="00604856"/>
    <w:rsid w:val="00674836"/>
    <w:rsid w:val="00704E41"/>
    <w:rsid w:val="00A14AC9"/>
    <w:rsid w:val="00AF244F"/>
    <w:rsid w:val="00B3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customStyle="1" w:styleId="DBF8CDF87CA34DFA85791E06DC3B0427">
    <w:name w:val="DBF8CDF87CA34DFA85791E06DC3B0427"/>
  </w:style>
  <w:style w:type="paragraph" w:customStyle="1" w:styleId="6FA6982FEDAB4CDBA94F8DB2634FAD65">
    <w:name w:val="6FA6982FEDAB4CDBA94F8DB2634FAD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D80EA79C60684B97B4965E6E8E525D" ma:contentTypeVersion="11" ma:contentTypeDescription="Create a new document." ma:contentTypeScope="" ma:versionID="04bd835a846268260c20df66c482678d">
  <xsd:schema xmlns:xsd="http://www.w3.org/2001/XMLSchema" xmlns:xs="http://www.w3.org/2001/XMLSchema" xmlns:p="http://schemas.microsoft.com/office/2006/metadata/properties" xmlns:ns2="15cb24ba-756a-4ce4-ac9a-5f0544b55546" xmlns:ns3="53adeefc-49af-490c-b6df-0a140ad55ab3" targetNamespace="http://schemas.microsoft.com/office/2006/metadata/properties" ma:root="true" ma:fieldsID="658fdc5b2b089e2fc918deb96f63016d" ns2:_="" ns3:_="">
    <xsd:import namespace="15cb24ba-756a-4ce4-ac9a-5f0544b55546"/>
    <xsd:import namespace="53adeefc-49af-490c-b6df-0a140ad55a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Quantida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b24ba-756a-4ce4-ac9a-5f0544b555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Quantidade" ma:index="14" nillable="true" ma:displayName="Quantidade" ma:format="Dropdown" ma:internalName="Quantidade" ma:percentage="FALSE">
      <xsd:simpleType>
        <xsd:restriction base="dms:Number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deefc-49af-490c-b6df-0a140ad55ab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uantidade xmlns="15cb24ba-756a-4ce4-ac9a-5f0544b55546" xsi:nil="true"/>
    <SharedWithUsers xmlns="53adeefc-49af-490c-b6df-0a140ad55ab3">
      <UserInfo>
        <DisplayName>Raphael Acácio Gomes dos Santos de Souza</DisplayName>
        <AccountId>14</AccountId>
        <AccountType/>
      </UserInfo>
      <UserInfo>
        <DisplayName>Antonio Carlos Berwanger</DisplayName>
        <AccountId>19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A1795-1FD2-4EAE-AAAA-D956775E28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cb24ba-756a-4ce4-ac9a-5f0544b55546"/>
    <ds:schemaRef ds:uri="53adeefc-49af-490c-b6df-0a140ad55a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B5A1A4-9D81-46F0-9142-701166337B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29E20E-5821-45D3-AC26-57F50D549409}">
  <ds:schemaRefs>
    <ds:schemaRef ds:uri="http://schemas.microsoft.com/office/2006/metadata/properties"/>
    <ds:schemaRef ds:uri="http://schemas.microsoft.com/office/infopath/2007/PartnerControls"/>
    <ds:schemaRef ds:uri="15cb24ba-756a-4ce4-ac9a-5f0544b55546"/>
    <ds:schemaRef ds:uri="53adeefc-49af-490c-b6df-0a140ad55ab3"/>
  </ds:schemaRefs>
</ds:datastoreItem>
</file>

<file path=customXml/itemProps4.xml><?xml version="1.0" encoding="utf-8"?>
<ds:datastoreItem xmlns:ds="http://schemas.openxmlformats.org/officeDocument/2006/customXml" ds:itemID="{D80433BB-AA31-4762-984A-305F8AE29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Resolução alteradora 45 e 46_23-11-2021</Template>
  <TotalTime>3</TotalTime>
  <Pages>8</Pages>
  <Words>1973</Words>
  <Characters>10656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61, de 27 de DEZEMBRO de 2021</vt:lpstr>
    </vt:vector>
  </TitlesOfParts>
  <Company/>
  <LinksUpToDate>false</LinksUpToDate>
  <CharactersWithSpaces>12604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61, de 27 de DEZEMBRO de 2021</dc:title>
  <dc:creator>SDM</dc:creator>
  <cp:lastModifiedBy>José Antonio Rodrigues Neto</cp:lastModifiedBy>
  <cp:revision>3</cp:revision>
  <dcterms:created xsi:type="dcterms:W3CDTF">2021-12-23T21:41:00Z</dcterms:created>
  <dcterms:modified xsi:type="dcterms:W3CDTF">2021-12-27T16:10:00Z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0x010100D7D80EA79C60684B97B4965E6E8E525D</vt:lpwstr>
  </property>
</Properties>
</file>